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73" w:rsidRDefault="00A4433C" w:rsidP="00017873">
      <w:pPr>
        <w:spacing w:before="120" w:after="120" w:line="240" w:lineRule="auto"/>
        <w:rPr>
          <w:rFonts w:ascii="Arial" w:hAnsi="Arial" w:cs="Arial"/>
          <w:sz w:val="24"/>
          <w:szCs w:val="24"/>
        </w:rPr>
      </w:pPr>
      <w:bookmarkStart w:id="0" w:name="_GoBack"/>
      <w:bookmarkEnd w:id="0"/>
      <w:r>
        <w:rPr>
          <w:rFonts w:ascii="Arial" w:hAnsi="Arial" w:cs="Arial"/>
          <w:sz w:val="24"/>
          <w:szCs w:val="24"/>
        </w:rPr>
        <w:t xml:space="preserve">The work set out </w:t>
      </w:r>
      <w:r w:rsidRPr="00EB583D">
        <w:rPr>
          <w:rFonts w:ascii="Arial" w:hAnsi="Arial" w:cs="Arial"/>
          <w:sz w:val="24"/>
          <w:szCs w:val="24"/>
        </w:rPr>
        <w:t xml:space="preserve">below </w:t>
      </w:r>
      <w:r>
        <w:rPr>
          <w:rFonts w:ascii="Arial" w:hAnsi="Arial" w:cs="Arial"/>
          <w:sz w:val="24"/>
          <w:szCs w:val="24"/>
        </w:rPr>
        <w:t>is intended to obtain the evidence required to support an overall opinion on the council's governance, risk management, and control processes for 201</w:t>
      </w:r>
      <w:r>
        <w:rPr>
          <w:rFonts w:ascii="Arial" w:hAnsi="Arial" w:cs="Arial"/>
          <w:sz w:val="24"/>
          <w:szCs w:val="24"/>
        </w:rPr>
        <w:t>8/19</w:t>
      </w:r>
      <w:r>
        <w:rPr>
          <w:rFonts w:ascii="Arial" w:hAnsi="Arial" w:cs="Arial"/>
          <w:sz w:val="24"/>
          <w:szCs w:val="24"/>
        </w:rPr>
        <w:t xml:space="preserve">. Individual elements within the plan may be amended but, taken as a whole, the resulting plan is designed to address the </w:t>
      </w:r>
      <w:r>
        <w:rPr>
          <w:rFonts w:ascii="Arial" w:hAnsi="Arial" w:cs="Arial"/>
          <w:sz w:val="24"/>
          <w:szCs w:val="24"/>
        </w:rPr>
        <w:t xml:space="preserve">requirement for an overall opinion </w:t>
      </w:r>
      <w:r>
        <w:rPr>
          <w:rFonts w:ascii="Arial" w:hAnsi="Arial" w:cs="Arial"/>
          <w:sz w:val="24"/>
          <w:szCs w:val="24"/>
        </w:rPr>
        <w:t xml:space="preserve">as </w:t>
      </w:r>
      <w:r>
        <w:rPr>
          <w:rFonts w:ascii="Arial" w:hAnsi="Arial" w:cs="Arial"/>
          <w:sz w:val="24"/>
          <w:szCs w:val="24"/>
        </w:rPr>
        <w:t xml:space="preserve">set out </w:t>
      </w:r>
      <w:r>
        <w:rPr>
          <w:rFonts w:ascii="Arial" w:hAnsi="Arial" w:cs="Arial"/>
          <w:sz w:val="24"/>
          <w:szCs w:val="24"/>
        </w:rPr>
        <w:t>in the Internal Audit Strategy for 2018/19</w:t>
      </w:r>
      <w:r>
        <w:rPr>
          <w:rFonts w:ascii="Arial" w:hAnsi="Arial" w:cs="Arial"/>
          <w:sz w:val="24"/>
          <w:szCs w:val="24"/>
        </w:rPr>
        <w:t>.</w:t>
      </w:r>
    </w:p>
    <w:p w:rsidR="00E15FEC" w:rsidRPr="00ED37DA" w:rsidRDefault="00A4433C" w:rsidP="00E15FEC">
      <w:pPr>
        <w:spacing w:before="120" w:after="120" w:line="240" w:lineRule="auto"/>
        <w:rPr>
          <w:rFonts w:ascii="Arial" w:hAnsi="Arial" w:cs="Arial"/>
          <w:sz w:val="24"/>
          <w:szCs w:val="24"/>
        </w:rPr>
      </w:pPr>
      <w:r>
        <w:rPr>
          <w:rFonts w:ascii="Arial" w:hAnsi="Arial" w:cs="Arial"/>
          <w:sz w:val="24"/>
          <w:szCs w:val="24"/>
        </w:rPr>
        <w:t xml:space="preserve">The type of work is shown as: '1' for phase </w:t>
      </w:r>
      <w:r>
        <w:rPr>
          <w:rFonts w:ascii="Arial" w:hAnsi="Arial" w:cs="Arial"/>
          <w:sz w:val="24"/>
          <w:szCs w:val="24"/>
        </w:rPr>
        <w:t>one/ consultancy work; '2' fo</w:t>
      </w:r>
      <w:r>
        <w:rPr>
          <w:rFonts w:ascii="Arial" w:hAnsi="Arial" w:cs="Arial"/>
          <w:sz w:val="24"/>
          <w:szCs w:val="24"/>
        </w:rPr>
        <w:t xml:space="preserve">r phase two/ compliance testing; '1+2' for a full risk and control evaluation; </w:t>
      </w:r>
      <w:r>
        <w:rPr>
          <w:rFonts w:ascii="Arial" w:hAnsi="Arial" w:cs="Arial"/>
          <w:sz w:val="24"/>
          <w:szCs w:val="24"/>
        </w:rPr>
        <w:t>'F' for follow-up work.</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7087"/>
        <w:gridCol w:w="851"/>
      </w:tblGrid>
      <w:tr w:rsidR="006C32FD" w:rsidTr="00442CA6">
        <w:trPr>
          <w:trHeight w:val="315"/>
          <w:tblHeader/>
        </w:trPr>
        <w:tc>
          <w:tcPr>
            <w:tcW w:w="2268" w:type="dxa"/>
            <w:shd w:val="clear" w:color="auto" w:fill="D9D9D9" w:themeFill="background1" w:themeFillShade="D9"/>
            <w:noWrap/>
          </w:tcPr>
          <w:p w:rsidR="00E15FEC" w:rsidRPr="00276A31" w:rsidRDefault="00A4433C" w:rsidP="00295F65">
            <w:pPr>
              <w:spacing w:before="40" w:after="4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Service area</w:t>
            </w:r>
          </w:p>
        </w:tc>
        <w:tc>
          <w:tcPr>
            <w:tcW w:w="3828" w:type="dxa"/>
            <w:shd w:val="clear" w:color="auto" w:fill="D9D9D9" w:themeFill="background1" w:themeFillShade="D9"/>
          </w:tcPr>
          <w:p w:rsidR="00E15FEC" w:rsidRPr="00276A31" w:rsidRDefault="00A4433C" w:rsidP="00295F65">
            <w:pPr>
              <w:spacing w:before="40" w:after="4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Operational area of activity</w:t>
            </w:r>
          </w:p>
        </w:tc>
        <w:tc>
          <w:tcPr>
            <w:tcW w:w="7087" w:type="dxa"/>
            <w:shd w:val="clear" w:color="auto" w:fill="D9D9D9" w:themeFill="background1" w:themeFillShade="D9"/>
            <w:noWrap/>
          </w:tcPr>
          <w:p w:rsidR="00E15FEC" w:rsidRPr="00276A31" w:rsidRDefault="00A4433C" w:rsidP="00295F65">
            <w:pPr>
              <w:spacing w:before="40" w:after="4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Audit work</w:t>
            </w:r>
          </w:p>
        </w:tc>
        <w:tc>
          <w:tcPr>
            <w:tcW w:w="851" w:type="dxa"/>
            <w:shd w:val="clear" w:color="auto" w:fill="D9D9D9" w:themeFill="background1" w:themeFillShade="D9"/>
          </w:tcPr>
          <w:p w:rsidR="00E15FEC" w:rsidRPr="00276A31" w:rsidRDefault="00A4433C" w:rsidP="00295F65">
            <w:pPr>
              <w:spacing w:before="40" w:after="4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Type</w:t>
            </w:r>
          </w:p>
        </w:tc>
      </w:tr>
      <w:tr w:rsidR="006C32FD" w:rsidTr="00442CA6">
        <w:trPr>
          <w:trHeight w:val="315"/>
        </w:trPr>
        <w:tc>
          <w:tcPr>
            <w:tcW w:w="13183" w:type="dxa"/>
            <w:gridSpan w:val="3"/>
            <w:shd w:val="clear" w:color="auto" w:fill="F2F2F2" w:themeFill="background1" w:themeFillShade="F2"/>
            <w:noWrap/>
            <w:hideMark/>
          </w:tcPr>
          <w:p w:rsidR="00E15FEC" w:rsidRPr="00276A31" w:rsidRDefault="00A4433C" w:rsidP="00295F65">
            <w:pPr>
              <w:spacing w:before="40" w:after="40" w:line="240" w:lineRule="auto"/>
              <w:rPr>
                <w:rFonts w:ascii="Arial" w:eastAsia="Times New Roman" w:hAnsi="Arial" w:cs="Arial"/>
                <w:b/>
                <w:color w:val="000000"/>
                <w:sz w:val="24"/>
                <w:szCs w:val="24"/>
                <w:lang w:eastAsia="en-GB"/>
              </w:rPr>
            </w:pPr>
            <w:r w:rsidRPr="00276A31">
              <w:rPr>
                <w:rFonts w:ascii="Arial" w:eastAsia="Times New Roman" w:hAnsi="Arial" w:cs="Arial"/>
                <w:b/>
                <w:bCs/>
                <w:color w:val="000000"/>
                <w:sz w:val="24"/>
                <w:szCs w:val="24"/>
                <w:lang w:eastAsia="en-GB"/>
              </w:rPr>
              <w:t>Control framework: governance and democratic oversight</w:t>
            </w:r>
          </w:p>
        </w:tc>
        <w:tc>
          <w:tcPr>
            <w:tcW w:w="851" w:type="dxa"/>
            <w:shd w:val="clear" w:color="auto" w:fill="F2F2F2" w:themeFill="background1" w:themeFillShade="F2"/>
          </w:tcPr>
          <w:p w:rsidR="00E15FEC" w:rsidRPr="00276A31" w:rsidRDefault="00A4433C" w:rsidP="00295F65">
            <w:pPr>
              <w:spacing w:before="40" w:after="40" w:line="240" w:lineRule="auto"/>
              <w:rPr>
                <w:rFonts w:ascii="Arial" w:eastAsia="Times New Roman" w:hAnsi="Arial" w:cs="Arial"/>
                <w:b/>
                <w:bCs/>
                <w:color w:val="000000"/>
                <w:sz w:val="24"/>
                <w:szCs w:val="24"/>
                <w:lang w:eastAsia="en-GB"/>
              </w:rPr>
            </w:pPr>
          </w:p>
        </w:tc>
      </w:tr>
      <w:tr w:rsidR="006C32FD" w:rsidTr="00442CA6">
        <w:trPr>
          <w:trHeight w:val="828"/>
        </w:trPr>
        <w:tc>
          <w:tcPr>
            <w:tcW w:w="226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Governance Service</w:t>
            </w:r>
          </w:p>
        </w:tc>
        <w:tc>
          <w:tcPr>
            <w:tcW w:w="382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Decision-making within the corporate governance framework by elected members under delegated powers.</w:t>
            </w:r>
          </w:p>
        </w:tc>
        <w:tc>
          <w:tcPr>
            <w:tcW w:w="7087"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Follow-up of our assessment of the council's measures to ensure compliance with its procedures, authority and timescales for proper deci</w:t>
            </w:r>
            <w:r w:rsidRPr="00E15FEC">
              <w:rPr>
                <w:rFonts w:ascii="Arial" w:eastAsia="Times New Roman" w:hAnsi="Arial" w:cs="Arial"/>
                <w:color w:val="000000"/>
                <w:lang w:eastAsia="en-GB"/>
              </w:rPr>
              <w:t>sion-making by members.</w:t>
            </w:r>
          </w:p>
        </w:tc>
        <w:tc>
          <w:tcPr>
            <w:tcW w:w="851"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59"/>
        </w:trPr>
        <w:tc>
          <w:tcPr>
            <w:tcW w:w="226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Governance Service</w:t>
            </w:r>
          </w:p>
        </w:tc>
        <w:tc>
          <w:tcPr>
            <w:tcW w:w="382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Decision-making within the corporate governance framework by officers under delegated powers.</w:t>
            </w:r>
          </w:p>
        </w:tc>
        <w:tc>
          <w:tcPr>
            <w:tcW w:w="7087"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 xml:space="preserve">Follow-up of our assessment of the council's measures to ensure compliance with its procedures, authority and </w:t>
            </w:r>
            <w:r w:rsidRPr="00E15FEC">
              <w:rPr>
                <w:rFonts w:ascii="Arial" w:eastAsia="Times New Roman" w:hAnsi="Arial" w:cs="Arial"/>
                <w:color w:val="000000"/>
                <w:lang w:eastAsia="en-GB"/>
              </w:rPr>
              <w:t>timescales for proper decision-making by officers under the scheme of delegation.</w:t>
            </w:r>
          </w:p>
        </w:tc>
        <w:tc>
          <w:tcPr>
            <w:tcW w:w="851"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13"/>
        </w:trPr>
        <w:tc>
          <w:tcPr>
            <w:tcW w:w="226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Governance Service</w:t>
            </w:r>
          </w:p>
        </w:tc>
        <w:tc>
          <w:tcPr>
            <w:tcW w:w="382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Effective oversight of corporate governance by the Audit and Governance Committee.</w:t>
            </w:r>
          </w:p>
        </w:tc>
        <w:tc>
          <w:tcPr>
            <w:tcW w:w="7087"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 xml:space="preserve">Follow-up of the action taken to develop the operation of the Audit, </w:t>
            </w:r>
            <w:r w:rsidRPr="00E15FEC">
              <w:rPr>
                <w:rFonts w:ascii="Arial" w:eastAsia="Times New Roman" w:hAnsi="Arial" w:cs="Arial"/>
                <w:color w:val="000000"/>
                <w:lang w:eastAsia="en-GB"/>
              </w:rPr>
              <w:t>Risk and Governance Committee.</w:t>
            </w:r>
          </w:p>
        </w:tc>
        <w:tc>
          <w:tcPr>
            <w:tcW w:w="851"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64"/>
        </w:trPr>
        <w:tc>
          <w:tcPr>
            <w:tcW w:w="226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LEP Coordination</w:t>
            </w:r>
          </w:p>
        </w:tc>
        <w:tc>
          <w:tcPr>
            <w:tcW w:w="382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Lancashire Enterprise Partnership (LEP) assurance framework.</w:t>
            </w:r>
          </w:p>
        </w:tc>
        <w:tc>
          <w:tcPr>
            <w:tcW w:w="7087"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Assurance that the council is complying with the new national LEP assurance framework effective from April 2018.</w:t>
            </w:r>
          </w:p>
        </w:tc>
        <w:tc>
          <w:tcPr>
            <w:tcW w:w="851"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828"/>
        </w:trPr>
        <w:tc>
          <w:tcPr>
            <w:tcW w:w="226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Pension Fund</w:t>
            </w:r>
          </w:p>
        </w:tc>
        <w:tc>
          <w:tcPr>
            <w:tcW w:w="3828"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Obtaining and</w:t>
            </w:r>
            <w:r w:rsidRPr="00E15FEC">
              <w:rPr>
                <w:rFonts w:ascii="Arial" w:eastAsia="Times New Roman" w:hAnsi="Arial" w:cs="Arial"/>
                <w:color w:val="000000"/>
                <w:lang w:eastAsia="en-GB"/>
              </w:rPr>
              <w:t xml:space="preserve"> understanding the assurance provided by the Pension Fund's own internal auditors.</w:t>
            </w:r>
          </w:p>
        </w:tc>
        <w:tc>
          <w:tcPr>
            <w:tcW w:w="7087"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Assessment of the assurance provided by Deloitte LLP over the operation of the Pension Fund by the Local Pensions Partnership.</w:t>
            </w:r>
          </w:p>
        </w:tc>
        <w:tc>
          <w:tcPr>
            <w:tcW w:w="851" w:type="dxa"/>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N</w:t>
            </w:r>
            <w:r>
              <w:rPr>
                <w:rFonts w:ascii="Arial" w:eastAsia="Times New Roman" w:hAnsi="Arial" w:cs="Arial"/>
                <w:color w:val="000000"/>
                <w:lang w:eastAsia="en-GB"/>
              </w:rPr>
              <w:t>/A</w:t>
            </w:r>
          </w:p>
        </w:tc>
      </w:tr>
      <w:tr w:rsidR="006C32FD" w:rsidTr="00442CA6">
        <w:trPr>
          <w:trHeight w:val="64"/>
        </w:trPr>
        <w:tc>
          <w:tcPr>
            <w:tcW w:w="2268" w:type="dxa"/>
            <w:tcBorders>
              <w:bottom w:val="single" w:sz="4" w:space="0" w:color="auto"/>
            </w:tcBorders>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Pension Fund</w:t>
            </w:r>
          </w:p>
        </w:tc>
        <w:tc>
          <w:tcPr>
            <w:tcW w:w="3828" w:type="dxa"/>
            <w:tcBorders>
              <w:bottom w:val="single" w:sz="4" w:space="0" w:color="auto"/>
            </w:tcBorders>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 xml:space="preserve">Oversight of the Lancashire </w:t>
            </w:r>
            <w:r w:rsidRPr="00E15FEC">
              <w:rPr>
                <w:rFonts w:ascii="Arial" w:eastAsia="Times New Roman" w:hAnsi="Arial" w:cs="Arial"/>
                <w:color w:val="000000"/>
                <w:lang w:eastAsia="en-GB"/>
              </w:rPr>
              <w:t>Pension Fund.</w:t>
            </w:r>
          </w:p>
        </w:tc>
        <w:tc>
          <w:tcPr>
            <w:tcW w:w="7087" w:type="dxa"/>
            <w:tcBorders>
              <w:bottom w:val="single" w:sz="4" w:space="0" w:color="auto"/>
            </w:tcBorders>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Follow up of 2017/18 audit</w:t>
            </w:r>
            <w:r>
              <w:rPr>
                <w:rFonts w:ascii="Arial" w:eastAsia="Times New Roman" w:hAnsi="Arial" w:cs="Arial"/>
                <w:color w:val="000000"/>
                <w:lang w:eastAsia="en-GB"/>
              </w:rPr>
              <w:t xml:space="preserve"> work.</w:t>
            </w:r>
          </w:p>
        </w:tc>
        <w:tc>
          <w:tcPr>
            <w:tcW w:w="851" w:type="dxa"/>
            <w:tcBorders>
              <w:bottom w:val="single" w:sz="4" w:space="0" w:color="auto"/>
            </w:tcBorders>
            <w:shd w:val="clear" w:color="auto" w:fill="auto"/>
            <w:hideMark/>
          </w:tcPr>
          <w:p w:rsidR="00E15FEC" w:rsidRPr="00E15F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c>
          <w:tcPr>
            <w:tcW w:w="13183" w:type="dxa"/>
            <w:gridSpan w:val="3"/>
            <w:tcBorders>
              <w:top w:val="nil"/>
            </w:tcBorders>
            <w:shd w:val="clear" w:color="auto" w:fill="F2F2F2" w:themeFill="background1" w:themeFillShade="F2"/>
          </w:tcPr>
          <w:p w:rsidR="00196180" w:rsidRPr="00276A31" w:rsidRDefault="00A4433C" w:rsidP="00295F65">
            <w:pPr>
              <w:spacing w:before="40" w:after="40" w:line="240" w:lineRule="auto"/>
              <w:rPr>
                <w:rFonts w:ascii="Arial" w:eastAsia="Times New Roman" w:hAnsi="Arial" w:cs="Arial"/>
                <w:b/>
                <w:color w:val="000000"/>
                <w:sz w:val="24"/>
                <w:szCs w:val="24"/>
                <w:lang w:eastAsia="en-GB"/>
              </w:rPr>
            </w:pPr>
            <w:r w:rsidRPr="00276A31">
              <w:rPr>
                <w:rFonts w:ascii="Arial" w:eastAsia="Times New Roman" w:hAnsi="Arial" w:cs="Arial"/>
                <w:b/>
                <w:color w:val="000000"/>
                <w:sz w:val="24"/>
                <w:szCs w:val="24"/>
                <w:lang w:eastAsia="en-GB"/>
              </w:rPr>
              <w:t>Control framework: business effectiveness</w:t>
            </w:r>
          </w:p>
        </w:tc>
        <w:tc>
          <w:tcPr>
            <w:tcW w:w="851" w:type="dxa"/>
            <w:tcBorders>
              <w:top w:val="nil"/>
            </w:tcBorders>
            <w:shd w:val="clear" w:color="auto" w:fill="F2F2F2" w:themeFill="background1" w:themeFillShade="F2"/>
          </w:tcPr>
          <w:p w:rsidR="00196180" w:rsidRDefault="00A4433C" w:rsidP="00295F65">
            <w:pPr>
              <w:spacing w:before="40" w:after="40" w:line="240" w:lineRule="auto"/>
              <w:rPr>
                <w:rFonts w:ascii="Arial" w:eastAsia="Times New Roman" w:hAnsi="Arial" w:cs="Arial"/>
                <w:b/>
                <w:color w:val="000000"/>
                <w:lang w:eastAsia="en-GB"/>
              </w:rPr>
            </w:pPr>
          </w:p>
        </w:tc>
      </w:tr>
      <w:tr w:rsidR="006C32FD" w:rsidTr="00442CA6">
        <w:trPr>
          <w:trHeight w:val="567"/>
        </w:trPr>
        <w:tc>
          <w:tcPr>
            <w:tcW w:w="226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Governance Service</w:t>
            </w:r>
          </w:p>
        </w:tc>
        <w:tc>
          <w:tcPr>
            <w:tcW w:w="382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 xml:space="preserve">Preparation of the corporate risk register. </w:t>
            </w:r>
          </w:p>
        </w:tc>
        <w:tc>
          <w:tcPr>
            <w:tcW w:w="7087"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 xml:space="preserve">Confirmation that the risk management process is continuing to operate effectively as designed, </w:t>
            </w:r>
            <w:r w:rsidRPr="00196180">
              <w:rPr>
                <w:rFonts w:ascii="Arial" w:eastAsia="Times New Roman" w:hAnsi="Arial" w:cs="Arial"/>
                <w:color w:val="000000"/>
                <w:lang w:eastAsia="en-GB"/>
              </w:rPr>
              <w:t>including oversight by CMT. Since we have recently provided full assurance (now categorised as 'substantial') over this process, this work will be light touch.</w:t>
            </w:r>
          </w:p>
        </w:tc>
        <w:tc>
          <w:tcPr>
            <w:tcW w:w="851"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317"/>
        </w:trPr>
        <w:tc>
          <w:tcPr>
            <w:tcW w:w="226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lastRenderedPageBreak/>
              <w:t>Business Intelligence</w:t>
            </w:r>
          </w:p>
        </w:tc>
        <w:tc>
          <w:tcPr>
            <w:tcW w:w="382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Corporate performance management.</w:t>
            </w:r>
          </w:p>
        </w:tc>
        <w:tc>
          <w:tcPr>
            <w:tcW w:w="7087"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 xml:space="preserve">Assessment of the operation of the </w:t>
            </w:r>
            <w:r w:rsidRPr="00196180">
              <w:rPr>
                <w:rFonts w:ascii="Arial" w:eastAsia="Times New Roman" w:hAnsi="Arial" w:cs="Arial"/>
                <w:color w:val="000000"/>
                <w:lang w:eastAsia="en-GB"/>
              </w:rPr>
              <w:t>revised framework for monitoring and managing achievement of the council's key objectives and strategies.</w:t>
            </w:r>
          </w:p>
        </w:tc>
        <w:tc>
          <w:tcPr>
            <w:tcW w:w="851"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05"/>
        </w:trPr>
        <w:tc>
          <w:tcPr>
            <w:tcW w:w="2268" w:type="dxa"/>
            <w:shd w:val="clear" w:color="auto" w:fill="auto"/>
            <w:hideMark/>
          </w:tcPr>
          <w:p w:rsidR="00196180" w:rsidRPr="00196180" w:rsidRDefault="00A4433C" w:rsidP="00295F65">
            <w:pPr>
              <w:spacing w:before="40" w:after="40" w:line="240" w:lineRule="auto"/>
              <w:rPr>
                <w:rFonts w:ascii="Arial" w:eastAsia="Times New Roman" w:hAnsi="Arial" w:cs="Arial"/>
                <w:lang w:eastAsia="en-GB"/>
              </w:rPr>
            </w:pPr>
            <w:r w:rsidRPr="00196180">
              <w:rPr>
                <w:rFonts w:ascii="Arial" w:eastAsia="Times New Roman" w:hAnsi="Arial" w:cs="Arial"/>
                <w:lang w:eastAsia="en-GB"/>
              </w:rPr>
              <w:t>Pension Fund</w:t>
            </w:r>
          </w:p>
        </w:tc>
        <w:tc>
          <w:tcPr>
            <w:tcW w:w="382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Performance management in the Lancashire Pension Fund</w:t>
            </w:r>
          </w:p>
        </w:tc>
        <w:tc>
          <w:tcPr>
            <w:tcW w:w="7087"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 xml:space="preserve">Audit of the adequacy and effectiveness of performance management arrangements including reporting and data quality. </w:t>
            </w:r>
          </w:p>
        </w:tc>
        <w:tc>
          <w:tcPr>
            <w:tcW w:w="851"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377"/>
        </w:trPr>
        <w:tc>
          <w:tcPr>
            <w:tcW w:w="226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Financial Management (Operations)</w:t>
            </w:r>
          </w:p>
        </w:tc>
        <w:tc>
          <w:tcPr>
            <w:tcW w:w="382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Delivery of the council's financial strategy and budget reductions.</w:t>
            </w:r>
          </w:p>
        </w:tc>
        <w:tc>
          <w:tcPr>
            <w:tcW w:w="7087"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 xml:space="preserve">Assessment of the adequacy and </w:t>
            </w:r>
            <w:r w:rsidRPr="00196180">
              <w:rPr>
                <w:rFonts w:ascii="Arial" w:eastAsia="Times New Roman" w:hAnsi="Arial" w:cs="Arial"/>
                <w:color w:val="000000"/>
                <w:lang w:eastAsia="en-GB"/>
              </w:rPr>
              <w:t>effectiveness of controls that will ensure that sufficient, or planned, savings will be achieved.</w:t>
            </w:r>
          </w:p>
        </w:tc>
        <w:tc>
          <w:tcPr>
            <w:tcW w:w="851"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687"/>
        </w:trPr>
        <w:tc>
          <w:tcPr>
            <w:tcW w:w="226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Financial Management (Operations)</w:t>
            </w:r>
          </w:p>
        </w:tc>
        <w:tc>
          <w:tcPr>
            <w:tcW w:w="382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Oversight and alignment of the council's establishment and staffing budget.</w:t>
            </w:r>
          </w:p>
        </w:tc>
        <w:tc>
          <w:tcPr>
            <w:tcW w:w="7087"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 xml:space="preserve">Follow-up of the actions agreed to </w:t>
            </w:r>
            <w:r w:rsidRPr="00196180">
              <w:rPr>
                <w:rFonts w:ascii="Arial" w:eastAsia="Times New Roman" w:hAnsi="Arial" w:cs="Arial"/>
                <w:color w:val="000000"/>
                <w:lang w:eastAsia="en-GB"/>
              </w:rPr>
              <w:t>strengthen the process to capture workforce planning decisions and ensure that the council's establishment is properly supported by matching budgets, and that HR and financial records are aligned, complete, accurate and current.</w:t>
            </w:r>
          </w:p>
        </w:tc>
        <w:tc>
          <w:tcPr>
            <w:tcW w:w="851"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F</w:t>
            </w:r>
          </w:p>
        </w:tc>
      </w:tr>
      <w:tr w:rsidR="006C32FD" w:rsidTr="00442CA6">
        <w:trPr>
          <w:trHeight w:val="153"/>
        </w:trPr>
        <w:tc>
          <w:tcPr>
            <w:tcW w:w="226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A sample of all</w:t>
            </w:r>
          </w:p>
        </w:tc>
        <w:tc>
          <w:tcPr>
            <w:tcW w:w="3828"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Communication with staff across the council.</w:t>
            </w:r>
          </w:p>
        </w:tc>
        <w:tc>
          <w:tcPr>
            <w:tcW w:w="7087"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Follow-up of the actions agreed to ensure that information is disseminated up and down the management chain.</w:t>
            </w:r>
          </w:p>
        </w:tc>
        <w:tc>
          <w:tcPr>
            <w:tcW w:w="851" w:type="dxa"/>
            <w:shd w:val="clear" w:color="auto" w:fill="auto"/>
            <w:hideMark/>
          </w:tcPr>
          <w:p w:rsidR="00196180" w:rsidRPr="00196180" w:rsidRDefault="00A4433C" w:rsidP="00295F65">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F</w:t>
            </w:r>
          </w:p>
        </w:tc>
      </w:tr>
      <w:tr w:rsidR="006C32FD" w:rsidTr="00442CA6">
        <w:tc>
          <w:tcPr>
            <w:tcW w:w="13183" w:type="dxa"/>
            <w:gridSpan w:val="3"/>
            <w:shd w:val="clear" w:color="auto" w:fill="F2F2F2" w:themeFill="background1" w:themeFillShade="F2"/>
          </w:tcPr>
          <w:p w:rsidR="00196180" w:rsidRPr="00276A31" w:rsidRDefault="00A4433C" w:rsidP="00295F65">
            <w:pPr>
              <w:spacing w:before="40" w:after="40" w:line="240" w:lineRule="auto"/>
              <w:rPr>
                <w:rFonts w:ascii="Arial" w:eastAsia="Times New Roman" w:hAnsi="Arial" w:cs="Arial"/>
                <w:b/>
                <w:color w:val="000000"/>
                <w:sz w:val="24"/>
                <w:szCs w:val="24"/>
                <w:lang w:eastAsia="en-GB"/>
              </w:rPr>
            </w:pPr>
            <w:r w:rsidRPr="00276A31">
              <w:rPr>
                <w:rFonts w:ascii="Arial" w:eastAsia="Times New Roman" w:hAnsi="Arial" w:cs="Arial"/>
                <w:b/>
                <w:color w:val="000000"/>
                <w:sz w:val="24"/>
                <w:szCs w:val="24"/>
                <w:lang w:eastAsia="en-GB"/>
              </w:rPr>
              <w:t>Control framework: service delivery</w:t>
            </w:r>
          </w:p>
        </w:tc>
        <w:tc>
          <w:tcPr>
            <w:tcW w:w="851" w:type="dxa"/>
            <w:shd w:val="clear" w:color="auto" w:fill="F2F2F2" w:themeFill="background1" w:themeFillShade="F2"/>
          </w:tcPr>
          <w:p w:rsidR="00196180" w:rsidRDefault="00A4433C" w:rsidP="00295F65">
            <w:pPr>
              <w:spacing w:before="40" w:after="40" w:line="240" w:lineRule="auto"/>
              <w:rPr>
                <w:rFonts w:ascii="Arial" w:eastAsia="Times New Roman" w:hAnsi="Arial" w:cs="Arial"/>
                <w:b/>
                <w:color w:val="000000"/>
                <w:lang w:eastAsia="en-GB"/>
              </w:rPr>
            </w:pPr>
          </w:p>
        </w:tc>
      </w:tr>
      <w:tr w:rsidR="006C32FD" w:rsidTr="00442CA6">
        <w:tc>
          <w:tcPr>
            <w:tcW w:w="13183" w:type="dxa"/>
            <w:gridSpan w:val="3"/>
            <w:shd w:val="clear" w:color="auto" w:fill="auto"/>
          </w:tcPr>
          <w:p w:rsidR="00276A31" w:rsidRPr="00276A31" w:rsidRDefault="00A4433C" w:rsidP="00295F65">
            <w:pPr>
              <w:spacing w:before="40" w:after="40" w:line="240" w:lineRule="auto"/>
              <w:rPr>
                <w:rFonts w:ascii="Arial" w:hAnsi="Arial" w:cs="Arial"/>
                <w:b/>
              </w:rPr>
            </w:pPr>
            <w:r w:rsidRPr="00276A31">
              <w:rPr>
                <w:rFonts w:ascii="Arial" w:hAnsi="Arial" w:cs="Arial"/>
                <w:b/>
              </w:rPr>
              <w:t>Adult Services and Health &amp; Wellbeing services</w:t>
            </w:r>
          </w:p>
        </w:tc>
        <w:tc>
          <w:tcPr>
            <w:tcW w:w="851" w:type="dxa"/>
            <w:shd w:val="clear" w:color="auto" w:fill="auto"/>
          </w:tcPr>
          <w:p w:rsidR="00276A31" w:rsidRDefault="00A4433C" w:rsidP="00295F65">
            <w:pPr>
              <w:spacing w:before="40" w:after="40" w:line="240" w:lineRule="auto"/>
              <w:rPr>
                <w:rFonts w:ascii="Arial" w:eastAsia="Times New Roman" w:hAnsi="Arial" w:cs="Arial"/>
                <w:b/>
                <w:color w:val="000000"/>
                <w:lang w:eastAsia="en-GB"/>
              </w:rPr>
            </w:pPr>
          </w:p>
        </w:tc>
      </w:tr>
      <w:tr w:rsidR="006C32FD" w:rsidTr="00442CA6">
        <w:trPr>
          <w:trHeight w:val="652"/>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Older People</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Construction of care packages.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Consideration of the processes and controls within the Care Navigation service to construct and source care packages from suppliers based on approved support plans in LAS, including an assessment of the accuracy of care pack</w:t>
            </w:r>
            <w:r w:rsidRPr="00276A31">
              <w:rPr>
                <w:rFonts w:ascii="Arial" w:eastAsia="Times New Roman" w:hAnsi="Arial" w:cs="Arial"/>
                <w:color w:val="000000"/>
                <w:lang w:eastAsia="en-GB"/>
              </w:rPr>
              <w:t>age line items input into ContrOCC.</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828"/>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Older People</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Use of the care portal by external care providers to claim payments for services provided to service users.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Audit of the system that manages payments to external care providers, focussing on information</w:t>
            </w:r>
            <w:r w:rsidRPr="00276A31">
              <w:rPr>
                <w:rFonts w:ascii="Arial" w:eastAsia="Times New Roman" w:hAnsi="Arial" w:cs="Arial"/>
                <w:color w:val="000000"/>
                <w:lang w:eastAsia="en-GB"/>
              </w:rPr>
              <w:t xml:space="preserve"> flows from providers and checks that ensure payments are accurate and valid.</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113"/>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Contract monitoring: operation of the new homecare contract for domiciliary care services.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A high-level review of the operation of the new </w:t>
            </w:r>
            <w:r w:rsidRPr="00276A31">
              <w:rPr>
                <w:rFonts w:ascii="Arial" w:eastAsia="Times New Roman" w:hAnsi="Arial" w:cs="Arial"/>
                <w:color w:val="000000"/>
                <w:lang w:eastAsia="en-GB"/>
              </w:rPr>
              <w:t>framework in the first year after its implementation, focussing on the mechanisms by which the contractors' performance is monitored. This work will be closely linked with that on the con</w:t>
            </w:r>
            <w:r>
              <w:rPr>
                <w:rFonts w:ascii="Arial" w:eastAsia="Times New Roman" w:hAnsi="Arial" w:cs="Arial"/>
                <w:color w:val="000000"/>
                <w:lang w:eastAsia="en-GB"/>
              </w:rPr>
              <w:t>s</w:t>
            </w:r>
            <w:r w:rsidRPr="00276A31">
              <w:rPr>
                <w:rFonts w:ascii="Arial" w:eastAsia="Times New Roman" w:hAnsi="Arial" w:cs="Arial"/>
                <w:color w:val="000000"/>
                <w:lang w:eastAsia="en-GB"/>
              </w:rPr>
              <w:t>truction and implementation of care packages for service users.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72"/>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Learning Disability, Autis</w:t>
            </w:r>
            <w:r w:rsidRPr="00276A31">
              <w:rPr>
                <w:rFonts w:ascii="Arial" w:eastAsia="Times New Roman" w:hAnsi="Arial" w:cs="Arial"/>
                <w:color w:val="000000"/>
                <w:lang w:eastAsia="en-GB"/>
              </w:rPr>
              <w:t>m &amp; Mental Health</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Complex case decision-making process.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Follow-up of the actions agreed to strengthen the process and extend it to a wider range of cases.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86"/>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Social Care (Health)</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Training and development.</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A review of the controls</w:t>
            </w:r>
            <w:r w:rsidRPr="00276A31">
              <w:rPr>
                <w:rFonts w:ascii="Arial" w:eastAsia="Times New Roman" w:hAnsi="Arial" w:cs="Arial"/>
                <w:lang w:eastAsia="en-GB"/>
              </w:rPr>
              <w:t xml:space="preserve"> in place to ensure that staff at all levels and disciplines within the service are offered an appropriate level of training and support, and that there is appropriate monitoring of compliance with mandatory training requirements.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195"/>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Social Care (Health)</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Case man</w:t>
            </w:r>
            <w:r>
              <w:rPr>
                <w:rFonts w:ascii="Arial" w:eastAsia="Times New Roman" w:hAnsi="Arial" w:cs="Arial"/>
                <w:color w:val="000000"/>
                <w:lang w:eastAsia="en-GB"/>
              </w:rPr>
              <w:t>a</w:t>
            </w:r>
            <w:r w:rsidRPr="00276A31">
              <w:rPr>
                <w:rFonts w:ascii="Arial" w:eastAsia="Times New Roman" w:hAnsi="Arial" w:cs="Arial"/>
                <w:color w:val="000000"/>
                <w:lang w:eastAsia="en-GB"/>
              </w:rPr>
              <w:t>gement: occupational therapy services.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Follow-up of the actions agreed in 2017/18 to strengthen the process.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778"/>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Learning Disability, Autism and Mental Health</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Case management: mental health services.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 xml:space="preserve">Review of the end to end case management </w:t>
            </w:r>
            <w:r w:rsidRPr="00276A31">
              <w:rPr>
                <w:rFonts w:ascii="Arial" w:eastAsia="Times New Roman" w:hAnsi="Arial" w:cs="Arial"/>
                <w:lang w:eastAsia="en-GB"/>
              </w:rPr>
              <w:t>arrangements following transfer of mental health service provision back into the council. This work will take place during 2018/19 if possible but may fall into 2019/2020.</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Pr>
                <w:rFonts w:ascii="Arial" w:eastAsia="Times New Roman" w:hAnsi="Arial" w:cs="Arial"/>
                <w:color w:val="000000"/>
                <w:lang w:eastAsia="en-GB"/>
              </w:rPr>
              <w:t>1+2</w:t>
            </w:r>
          </w:p>
        </w:tc>
      </w:tr>
      <w:tr w:rsidR="006C32FD" w:rsidTr="00442CA6">
        <w:trPr>
          <w:trHeight w:val="142"/>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Learning Disability, Autism and Mental Health</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Transition from Children's to </w:t>
            </w:r>
            <w:r w:rsidRPr="00276A31">
              <w:rPr>
                <w:rFonts w:ascii="Arial" w:eastAsia="Times New Roman" w:hAnsi="Arial" w:cs="Arial"/>
                <w:color w:val="000000"/>
                <w:lang w:eastAsia="en-GB"/>
              </w:rPr>
              <w:t>Adult Services.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Follow-up of the action agreed in 2017/18.</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739"/>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Disability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Payroll claims and overpayments.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 xml:space="preserve">Assessment </w:t>
            </w:r>
            <w:r>
              <w:rPr>
                <w:rFonts w:ascii="Arial" w:eastAsia="Times New Roman" w:hAnsi="Arial" w:cs="Arial"/>
                <w:lang w:eastAsia="en-GB"/>
              </w:rPr>
              <w:t xml:space="preserve">of </w:t>
            </w:r>
            <w:r w:rsidRPr="00276A31">
              <w:rPr>
                <w:rFonts w:ascii="Arial" w:eastAsia="Times New Roman" w:hAnsi="Arial" w:cs="Arial"/>
                <w:lang w:eastAsia="en-GB"/>
              </w:rPr>
              <w:t xml:space="preserve">controls over data input and authorisation, and the identification and recovery of overpayments within Disability Services, </w:t>
            </w:r>
            <w:r w:rsidRPr="00276A31">
              <w:rPr>
                <w:rFonts w:ascii="Arial" w:eastAsia="Times New Roman" w:hAnsi="Arial" w:cs="Arial"/>
                <w:lang w:eastAsia="en-GB"/>
              </w:rPr>
              <w:t>considering how errors can be reduced and efficiency increased.</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Pr>
                <w:rFonts w:ascii="Arial" w:eastAsia="Times New Roman" w:hAnsi="Arial" w:cs="Arial"/>
                <w:color w:val="000000"/>
                <w:lang w:eastAsia="en-GB"/>
              </w:rPr>
              <w:t>1+2</w:t>
            </w:r>
          </w:p>
        </w:tc>
      </w:tr>
      <w:tr w:rsidR="006C32FD" w:rsidTr="00442CA6">
        <w:trPr>
          <w:trHeight w:val="485"/>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All adult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Ordinary residence</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Assessment of the arrangements to establish service users' ordinary residence and to determine appropriate charges between local authorities.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1</w:t>
            </w:r>
          </w:p>
        </w:tc>
      </w:tr>
      <w:tr w:rsidR="006C32FD" w:rsidTr="00442CA6">
        <w:trPr>
          <w:trHeight w:val="22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All </w:t>
            </w:r>
            <w:r w:rsidRPr="00276A31">
              <w:rPr>
                <w:rFonts w:ascii="Arial" w:eastAsia="Times New Roman" w:hAnsi="Arial" w:cs="Arial"/>
                <w:color w:val="000000"/>
                <w:lang w:eastAsia="en-GB"/>
              </w:rPr>
              <w:t>adult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Direct payments to service users and their carers.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Follow-up of the actions agreed in 2017/18 to strengthen controls.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395"/>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Exchequer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Financial assessments of social care service users.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 xml:space="preserve">Follow-up of the actions agreed in 2017/18 to </w:t>
            </w:r>
            <w:r w:rsidRPr="00276A31">
              <w:rPr>
                <w:rFonts w:ascii="Arial" w:eastAsia="Times New Roman" w:hAnsi="Arial" w:cs="Arial"/>
                <w:lang w:eastAsia="en-GB"/>
              </w:rPr>
              <w:t>strengthen controls.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261"/>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Exchequer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Third party top-up payments.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 xml:space="preserve">Assurance that service users are being provided with appropriate information regarding the payment of third party top-up payments. </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8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Exchequer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Reviews of service users' </w:t>
            </w:r>
            <w:r w:rsidRPr="00276A31">
              <w:rPr>
                <w:rFonts w:ascii="Arial" w:eastAsia="Times New Roman" w:hAnsi="Arial" w:cs="Arial"/>
                <w:color w:val="000000"/>
                <w:lang w:eastAsia="en-GB"/>
              </w:rPr>
              <w:t>use of direct payments.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Follow-up of the actions agreed in 2017/18 to strengthen controls.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104"/>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lastRenderedPageBreak/>
              <w:t>Disability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Medication practices in day care centres (which are not independently inspected by the Care Quality Commission).</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 xml:space="preserve">Assurance that staff are trained as required by NICE guidelines in medication handling and administration, and that policy and procedures are being followed </w:t>
            </w:r>
            <w:r>
              <w:rPr>
                <w:rFonts w:ascii="Arial" w:eastAsia="Times New Roman" w:hAnsi="Arial" w:cs="Arial"/>
                <w:lang w:eastAsia="en-GB"/>
              </w:rPr>
              <w:t>in a sample of locations across</w:t>
            </w:r>
            <w:r w:rsidRPr="00276A31">
              <w:rPr>
                <w:rFonts w:ascii="Arial" w:eastAsia="Times New Roman" w:hAnsi="Arial" w:cs="Arial"/>
                <w:lang w:eastAsia="en-GB"/>
              </w:rPr>
              <w:t xml:space="preserve"> day care services.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62"/>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Policy, Information and Commissioning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Transforming community equipment.</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Assessment following the transfer of the service to the council from the NHS and its work to improve its processes, including reconciliations of prescriptions to invoices.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84"/>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Disability Services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Supervision and support </w:t>
            </w:r>
            <w:r w:rsidRPr="00276A31">
              <w:rPr>
                <w:rFonts w:ascii="Arial" w:eastAsia="Times New Roman" w:hAnsi="Arial" w:cs="Arial"/>
                <w:color w:val="000000"/>
                <w:lang w:eastAsia="en-GB"/>
              </w:rPr>
              <w:t>to front-line in-house care providers.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Confirmation that staff are subject to regular support and supervisory review to ensure compliance with professional body requirements for unregistered day services.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Supervision and </w:t>
            </w:r>
            <w:r w:rsidRPr="00276A31">
              <w:rPr>
                <w:rFonts w:ascii="Arial" w:eastAsia="Times New Roman" w:hAnsi="Arial" w:cs="Arial"/>
                <w:color w:val="000000"/>
                <w:lang w:eastAsia="en-GB"/>
              </w:rPr>
              <w:t>support to front-line social workers.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Confirmation that staff are subject to regular support and supervisory review to ensure compliance with professional body requirements.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Contract monitoring: reablement service.</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Follow-up of the actions agreed in 2017/18 to strengthen controls.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Contract monitoring: crisis support service.</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Follow-up of the actions agreed in 2017/18 to strengthen controls.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Individual </w:t>
            </w:r>
            <w:r w:rsidRPr="00276A31">
              <w:rPr>
                <w:rFonts w:ascii="Arial" w:eastAsia="Times New Roman" w:hAnsi="Arial" w:cs="Arial"/>
                <w:color w:val="000000"/>
                <w:lang w:eastAsia="en-GB"/>
              </w:rPr>
              <w:t>service funds.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As</w:t>
            </w:r>
            <w:r>
              <w:rPr>
                <w:rFonts w:ascii="Arial" w:eastAsia="Times New Roman" w:hAnsi="Arial" w:cs="Arial"/>
                <w:lang w:eastAsia="en-GB"/>
              </w:rPr>
              <w:t>s</w:t>
            </w:r>
            <w:r w:rsidRPr="00276A31">
              <w:rPr>
                <w:rFonts w:ascii="Arial" w:eastAsia="Times New Roman" w:hAnsi="Arial" w:cs="Arial"/>
                <w:lang w:eastAsia="en-GB"/>
              </w:rPr>
              <w:t>essment of the arrangements controlling individual service funds.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1</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Making Safeguarding Personal.</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Follow-up of actions agreed in 2017/18.</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12"/>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Health Equity &amp; Partnerships</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Commissioning and oversight of public</w:t>
            </w:r>
            <w:r w:rsidRPr="00276A31">
              <w:rPr>
                <w:rFonts w:ascii="Arial" w:eastAsia="Times New Roman" w:hAnsi="Arial" w:cs="Arial"/>
                <w:color w:val="000000"/>
                <w:lang w:eastAsia="en-GB"/>
              </w:rPr>
              <w:t xml:space="preserve"> health provision.</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Follow-up of actions agreed in 2017/18.</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Contract monitoring: sexual health service.</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Follow-up of actions agreed in 2017/18.</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84"/>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Quality Assurance and Improvement Programmes </w:t>
            </w:r>
            <w:r w:rsidRPr="00276A31">
              <w:rPr>
                <w:rFonts w:ascii="Arial" w:eastAsia="Times New Roman" w:hAnsi="Arial" w:cs="Arial"/>
                <w:color w:val="000000"/>
                <w:lang w:eastAsia="en-GB"/>
              </w:rPr>
              <w:t>for residential and non-residential care.</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Consideration of the adequacy and effectiveness of the improvement programme begin developed to drive improvements in service delivery across the regulated care sector.</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1</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Health, Safety &amp; Resilience</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Planning to </w:t>
            </w:r>
            <w:r w:rsidRPr="00276A31">
              <w:rPr>
                <w:rFonts w:ascii="Arial" w:eastAsia="Times New Roman" w:hAnsi="Arial" w:cs="Arial"/>
                <w:color w:val="000000"/>
                <w:lang w:eastAsia="en-GB"/>
              </w:rPr>
              <w:t>address emergencies and civil contingencies.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Follow-up of actions agreed in 2017/18 to address both central planning arrangements and planning within services.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8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lastRenderedPageBreak/>
              <w:t>Children and Family Wellbeing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Children and Family Wellbeing Service: core offer.</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 xml:space="preserve">Review of the control framework supporting delivery of the core offer to identify any gaps or inefficiencies. </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lang w:eastAsia="en-GB"/>
              </w:rPr>
            </w:pPr>
            <w:r w:rsidRPr="00276A31">
              <w:rPr>
                <w:rFonts w:ascii="Arial" w:eastAsia="Times New Roman" w:hAnsi="Arial" w:cs="Arial"/>
                <w:lang w:eastAsia="en-GB"/>
              </w:rPr>
              <w:t>1</w:t>
            </w:r>
          </w:p>
        </w:tc>
      </w:tr>
      <w:tr w:rsidR="006C32FD" w:rsidTr="00442CA6">
        <w:trPr>
          <w:trHeight w:val="151"/>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Health, Safety &amp; Resilience</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Corporate approach to lone workers.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Assessment of any new corporate approach to managing the risks to lone </w:t>
            </w:r>
            <w:r w:rsidRPr="00276A31">
              <w:rPr>
                <w:rFonts w:ascii="Arial" w:eastAsia="Times New Roman" w:hAnsi="Arial" w:cs="Arial"/>
                <w:color w:val="000000"/>
                <w:lang w:eastAsia="en-GB"/>
              </w:rPr>
              <w:t>workers, whatever service they work in, to understand the approach and document the risk and control framework.</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1</w:t>
            </w:r>
          </w:p>
        </w:tc>
      </w:tr>
      <w:tr w:rsidR="006C32FD" w:rsidTr="00442CA6">
        <w:trPr>
          <w:trHeight w:val="956"/>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Health, Safety &amp; Resilience</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Compliance with corporate health and safety requirements.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Follow-up of actions agreed in 2017/18 to ensure </w:t>
            </w:r>
            <w:r w:rsidRPr="00276A31">
              <w:rPr>
                <w:rFonts w:ascii="Arial" w:eastAsia="Times New Roman" w:hAnsi="Arial" w:cs="Arial"/>
                <w:color w:val="000000"/>
                <w:lang w:eastAsia="en-GB"/>
              </w:rPr>
              <w:t>compliance with corporate health and safety requirements, focussing particularly on arrangements supporting the Highways and Design &amp; Construction services.</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284"/>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Health, Safety &amp; Resilience</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Educational off-site visits</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Educational off-site visits, in </w:t>
            </w:r>
            <w:r w:rsidRPr="00276A31">
              <w:rPr>
                <w:rFonts w:ascii="Arial" w:eastAsia="Times New Roman" w:hAnsi="Arial" w:cs="Arial"/>
                <w:color w:val="000000"/>
                <w:lang w:eastAsia="en-GB"/>
              </w:rPr>
              <w:t>particular compliance checks completed by the Health, Safety and Resilience team.</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Patient Safety &amp; Safeguarding</w:t>
            </w:r>
          </w:p>
        </w:tc>
        <w:tc>
          <w:tcPr>
            <w:tcW w:w="3828"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Contract monitoring: Direct Payment Support Service</w:t>
            </w:r>
          </w:p>
        </w:tc>
        <w:tc>
          <w:tcPr>
            <w:tcW w:w="7087"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sidRPr="00276A31">
              <w:rPr>
                <w:rFonts w:ascii="Arial" w:eastAsia="Times New Roman" w:hAnsi="Arial" w:cs="Arial"/>
                <w:color w:val="000000"/>
                <w:lang w:eastAsia="en-GB"/>
              </w:rPr>
              <w:t xml:space="preserve">Audit of the system to monitor contracts for the provision of the Direct Payment </w:t>
            </w:r>
            <w:r w:rsidRPr="00276A31">
              <w:rPr>
                <w:rFonts w:ascii="Arial" w:eastAsia="Times New Roman" w:hAnsi="Arial" w:cs="Arial"/>
                <w:color w:val="000000"/>
                <w:lang w:eastAsia="en-GB"/>
              </w:rPr>
              <w:t>Support Service.</w:t>
            </w:r>
          </w:p>
        </w:tc>
        <w:tc>
          <w:tcPr>
            <w:tcW w:w="851" w:type="dxa"/>
            <w:shd w:val="clear" w:color="auto" w:fill="auto"/>
            <w:hideMark/>
          </w:tcPr>
          <w:p w:rsidR="00276A31" w:rsidRPr="00276A31"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c>
          <w:tcPr>
            <w:tcW w:w="13183" w:type="dxa"/>
            <w:gridSpan w:val="3"/>
            <w:shd w:val="clear" w:color="auto" w:fill="auto"/>
          </w:tcPr>
          <w:p w:rsidR="001359EC" w:rsidRPr="00276A31" w:rsidRDefault="00A4433C" w:rsidP="00295F65">
            <w:pPr>
              <w:spacing w:before="40" w:after="40" w:line="240" w:lineRule="auto"/>
              <w:rPr>
                <w:rFonts w:ascii="Arial" w:hAnsi="Arial" w:cs="Arial"/>
                <w:b/>
              </w:rPr>
            </w:pPr>
            <w:r w:rsidRPr="001359EC">
              <w:rPr>
                <w:rFonts w:ascii="Arial" w:hAnsi="Arial" w:cs="Arial"/>
                <w:b/>
              </w:rPr>
              <w:t>Education &amp; Children's Services</w:t>
            </w:r>
          </w:p>
        </w:tc>
        <w:tc>
          <w:tcPr>
            <w:tcW w:w="851" w:type="dxa"/>
            <w:shd w:val="clear" w:color="auto" w:fill="auto"/>
          </w:tcPr>
          <w:p w:rsidR="001359EC" w:rsidRDefault="00A4433C" w:rsidP="00295F65">
            <w:pPr>
              <w:spacing w:before="40" w:after="40" w:line="240" w:lineRule="auto"/>
              <w:rPr>
                <w:rFonts w:ascii="Arial" w:eastAsia="Times New Roman" w:hAnsi="Arial" w:cs="Arial"/>
                <w:b/>
                <w:color w:val="000000"/>
                <w:lang w:eastAsia="en-GB"/>
              </w:rPr>
            </w:pPr>
          </w:p>
        </w:tc>
      </w:tr>
      <w:tr w:rsidR="006C32FD" w:rsidTr="007E69B1">
        <w:trPr>
          <w:trHeight w:val="223"/>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Special Educational Needs and Disability</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Personal budgets met through direct payments.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the action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42"/>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Fostering, Adoption, Residential &amp; YOT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Contract monitoring: </w:t>
            </w:r>
            <w:r w:rsidRPr="001359EC">
              <w:rPr>
                <w:rFonts w:ascii="Arial" w:eastAsia="Times New Roman" w:hAnsi="Arial" w:cs="Arial"/>
                <w:color w:val="000000"/>
                <w:lang w:eastAsia="en-GB"/>
              </w:rPr>
              <w:t>external residential placements.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the action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348"/>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Governance Service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Relationship between the Child Protection legal team and Children's Social Care.</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Assessment of the Child Protection legal team's operation against its </w:t>
            </w:r>
            <w:r w:rsidRPr="001359EC">
              <w:rPr>
                <w:rFonts w:ascii="Arial" w:eastAsia="Times New Roman" w:hAnsi="Arial" w:cs="Arial"/>
                <w:color w:val="000000"/>
                <w:lang w:eastAsia="en-GB"/>
              </w:rPr>
              <w:t>objectives as a key element of children's social services but independent of the work of the front-line social workers.</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Safeguarding, Inspection &amp; Audit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Safeguarding through recruitment: selection and vetting procedures.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the action agreed</w:t>
            </w:r>
            <w:r w:rsidRPr="001359EC">
              <w:rPr>
                <w:rFonts w:ascii="Arial" w:eastAsia="Times New Roman" w:hAnsi="Arial" w:cs="Arial"/>
                <w:color w:val="000000"/>
                <w:lang w:eastAsia="en-GB"/>
              </w:rPr>
              <w:t xml:space="preserve">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81"/>
        </w:trPr>
        <w:tc>
          <w:tcPr>
            <w:tcW w:w="2268"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Safeguarding, Inspection &amp; Audit</w:t>
            </w:r>
          </w:p>
        </w:tc>
        <w:tc>
          <w:tcPr>
            <w:tcW w:w="3828"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lang w:eastAsia="en-GB"/>
              </w:rPr>
            </w:pPr>
            <w:r w:rsidRPr="001359EC">
              <w:rPr>
                <w:rFonts w:ascii="Arial" w:eastAsia="Times New Roman" w:hAnsi="Arial" w:cs="Arial"/>
                <w:lang w:eastAsia="en-GB"/>
              </w:rPr>
              <w:t>Information security within the service following an e</w:t>
            </w:r>
            <w:r>
              <w:rPr>
                <w:rFonts w:ascii="Arial" w:eastAsia="Times New Roman" w:hAnsi="Arial" w:cs="Arial"/>
                <w:lang w:eastAsia="en-GB"/>
              </w:rPr>
              <w:t>xcessive number of data breache</w:t>
            </w:r>
            <w:r w:rsidRPr="001359EC">
              <w:rPr>
                <w:rFonts w:ascii="Arial" w:eastAsia="Times New Roman" w:hAnsi="Arial" w:cs="Arial"/>
                <w:lang w:eastAsia="en-GB"/>
              </w:rPr>
              <w:t>s in previous years.</w:t>
            </w:r>
          </w:p>
        </w:tc>
        <w:tc>
          <w:tcPr>
            <w:tcW w:w="7087"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Audit using the framework created in 2017/18 to assess whether controls are operating effectively, </w:t>
            </w:r>
            <w:r w:rsidRPr="001359EC">
              <w:rPr>
                <w:rFonts w:ascii="Arial" w:eastAsia="Times New Roman" w:hAnsi="Arial" w:cs="Arial"/>
                <w:color w:val="000000"/>
                <w:lang w:eastAsia="en-GB"/>
              </w:rPr>
              <w:t>specifically in reference to the number of data breaches and changes to the disc</w:t>
            </w:r>
            <w:r>
              <w:rPr>
                <w:rFonts w:ascii="Arial" w:eastAsia="Times New Roman" w:hAnsi="Arial" w:cs="Arial"/>
                <w:color w:val="000000"/>
                <w:lang w:eastAsia="en-GB"/>
              </w:rPr>
              <w:t>i</w:t>
            </w:r>
            <w:r w:rsidRPr="001359EC">
              <w:rPr>
                <w:rFonts w:ascii="Arial" w:eastAsia="Times New Roman" w:hAnsi="Arial" w:cs="Arial"/>
                <w:color w:val="000000"/>
                <w:lang w:eastAsia="en-GB"/>
              </w:rPr>
              <w:t>plinary procedures.</w:t>
            </w:r>
          </w:p>
        </w:tc>
        <w:tc>
          <w:tcPr>
            <w:tcW w:w="851"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442CA6">
        <w:trPr>
          <w:trHeight w:val="621"/>
        </w:trPr>
        <w:tc>
          <w:tcPr>
            <w:tcW w:w="2268"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Fostering, Adoption, Residential &amp; YOT</w:t>
            </w:r>
          </w:p>
        </w:tc>
        <w:tc>
          <w:tcPr>
            <w:tcW w:w="3828"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lang w:eastAsia="en-GB"/>
              </w:rPr>
            </w:pPr>
            <w:r w:rsidRPr="001359EC">
              <w:rPr>
                <w:rFonts w:ascii="Arial" w:eastAsia="Times New Roman" w:hAnsi="Arial" w:cs="Arial"/>
                <w:lang w:eastAsia="en-GB"/>
              </w:rPr>
              <w:t>Information security within the service following an excessive number of data breaches in previous years.</w:t>
            </w:r>
          </w:p>
        </w:tc>
        <w:tc>
          <w:tcPr>
            <w:tcW w:w="7087"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Audit </w:t>
            </w:r>
            <w:r w:rsidRPr="001359EC">
              <w:rPr>
                <w:rFonts w:ascii="Arial" w:eastAsia="Times New Roman" w:hAnsi="Arial" w:cs="Arial"/>
                <w:color w:val="000000"/>
                <w:lang w:eastAsia="en-GB"/>
              </w:rPr>
              <w:t>using the framework created in 2017/18 to assess whether controls are operating effectively, specifically in reference to the number of data breaches and changes to the disc</w:t>
            </w:r>
            <w:r>
              <w:rPr>
                <w:rFonts w:ascii="Arial" w:eastAsia="Times New Roman" w:hAnsi="Arial" w:cs="Arial"/>
                <w:color w:val="000000"/>
                <w:lang w:eastAsia="en-GB"/>
              </w:rPr>
              <w:t>i</w:t>
            </w:r>
            <w:r w:rsidRPr="001359EC">
              <w:rPr>
                <w:rFonts w:ascii="Arial" w:eastAsia="Times New Roman" w:hAnsi="Arial" w:cs="Arial"/>
                <w:color w:val="000000"/>
                <w:lang w:eastAsia="en-GB"/>
              </w:rPr>
              <w:t>plinary procedures.</w:t>
            </w:r>
          </w:p>
        </w:tc>
        <w:tc>
          <w:tcPr>
            <w:tcW w:w="851"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442CA6">
        <w:trPr>
          <w:trHeight w:val="36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lastRenderedPageBreak/>
              <w:t>Policy, Information and Commissioning</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Transitions: </w:t>
            </w:r>
            <w:r w:rsidRPr="001359EC">
              <w:rPr>
                <w:rFonts w:ascii="Arial" w:eastAsia="Times New Roman" w:hAnsi="Arial" w:cs="Arial"/>
                <w:color w:val="000000"/>
                <w:lang w:eastAsia="en-GB"/>
              </w:rPr>
              <w:t>Community Health Care (CHC) funding for the transition from children's to adults services.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Assessment of the process in place to ensure that all available CHC funding is being obtained.</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1</w:t>
            </w:r>
          </w:p>
        </w:tc>
      </w:tr>
      <w:tr w:rsidR="006C32FD" w:rsidTr="00442CA6">
        <w:trPr>
          <w:trHeight w:val="818"/>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Policy, Information and Commissioning</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Procurement of services for </w:t>
            </w:r>
            <w:r w:rsidRPr="001359EC">
              <w:rPr>
                <w:rFonts w:ascii="Arial" w:eastAsia="Times New Roman" w:hAnsi="Arial" w:cs="Arial"/>
                <w:color w:val="000000"/>
                <w:lang w:eastAsia="en-GB"/>
              </w:rPr>
              <w:t>the commissioning of psychological assessments.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Audit of the process by which the need for psychological assessment services is identified and approved, how providers are sel</w:t>
            </w:r>
            <w:r>
              <w:rPr>
                <w:rFonts w:ascii="Arial" w:eastAsia="Times New Roman" w:hAnsi="Arial" w:cs="Arial"/>
                <w:color w:val="000000"/>
                <w:lang w:eastAsia="en-GB"/>
              </w:rPr>
              <w:t>ected and how funding decisions</w:t>
            </w:r>
            <w:r w:rsidRPr="001359EC">
              <w:rPr>
                <w:rFonts w:ascii="Arial" w:eastAsia="Times New Roman" w:hAnsi="Arial" w:cs="Arial"/>
                <w:color w:val="000000"/>
                <w:lang w:eastAsia="en-GB"/>
              </w:rPr>
              <w:t xml:space="preserve"> </w:t>
            </w:r>
            <w:r>
              <w:rPr>
                <w:rFonts w:ascii="Arial" w:eastAsia="Times New Roman" w:hAnsi="Arial" w:cs="Arial"/>
                <w:color w:val="000000"/>
                <w:lang w:eastAsia="en-GB"/>
              </w:rPr>
              <w:t>are</w:t>
            </w:r>
            <w:r w:rsidRPr="001359EC">
              <w:rPr>
                <w:rFonts w:ascii="Arial" w:eastAsia="Times New Roman" w:hAnsi="Arial" w:cs="Arial"/>
                <w:color w:val="000000"/>
                <w:lang w:eastAsia="en-GB"/>
              </w:rPr>
              <w:t xml:space="preserve"> reached between the council and health service</w:t>
            </w:r>
            <w:r w:rsidRPr="001359EC">
              <w:rPr>
                <w:rFonts w:ascii="Arial" w:eastAsia="Times New Roman" w:hAnsi="Arial" w:cs="Arial"/>
                <w:color w:val="000000"/>
                <w:lang w:eastAsia="en-GB"/>
              </w:rPr>
              <w:t xml:space="preserve">s. </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Children's Social Care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Prevention of child sexual exploitation.</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Review of the effectiveness of action to combat child sexual exploitation (CSE) through the operation of the pan-Lancashire standard operating protocol and the action of the council's CSE team. </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7E69B1">
        <w:trPr>
          <w:trHeight w:val="73"/>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Children's Social Care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Section 17 payments to children </w:t>
            </w:r>
            <w:r w:rsidRPr="001359EC">
              <w:rPr>
                <w:rFonts w:ascii="Arial" w:eastAsia="Times New Roman" w:hAnsi="Arial" w:cs="Arial"/>
                <w:color w:val="000000"/>
                <w:lang w:eastAsia="en-GB"/>
              </w:rPr>
              <w:t>with disabilities.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Audit of the service's assessments in providing urgent assistance to families, including its decision-making and approvals process.</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142"/>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Children's Social Care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Residential placements.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Assessment of the end-to-end process through which </w:t>
            </w:r>
            <w:r w:rsidRPr="001359EC">
              <w:rPr>
                <w:rFonts w:ascii="Arial" w:eastAsia="Times New Roman" w:hAnsi="Arial" w:cs="Arial"/>
                <w:color w:val="000000"/>
                <w:lang w:eastAsia="en-GB"/>
              </w:rPr>
              <w:t>children in council care are placed with external residential care providers, including initial needs assessment, approval and selection of provider.</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828"/>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Safeguarding, Inspection &amp; Audit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Children's Services' in-service audit framework. </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Assessment of the adequacy and effectiveness of controls over the operation of the audit framework including testing of audit activity on casework and supervisions. </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Policy, Information and Commissioning</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Implementation of the Prevent strategy.</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Compliance with actions required to embed the Prevent strategy across the council to ensure all staff are aware of it and how to respond to any concerns.</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School Improvement</w:t>
            </w:r>
          </w:p>
        </w:tc>
        <w:tc>
          <w:tcPr>
            <w:tcW w:w="3828"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Exclusions and attendance.</w:t>
            </w:r>
          </w:p>
        </w:tc>
        <w:tc>
          <w:tcPr>
            <w:tcW w:w="7087"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Tests of schools' compliance with the council's </w:t>
            </w:r>
            <w:r w:rsidRPr="001359EC">
              <w:rPr>
                <w:rFonts w:ascii="Arial" w:eastAsia="Times New Roman" w:hAnsi="Arial" w:cs="Arial"/>
                <w:color w:val="000000"/>
                <w:lang w:eastAsia="en-GB"/>
              </w:rPr>
              <w:t>policy.</w:t>
            </w:r>
          </w:p>
        </w:tc>
        <w:tc>
          <w:tcPr>
            <w:tcW w:w="851" w:type="dxa"/>
            <w:tcBorders>
              <w:bottom w:val="single" w:sz="4" w:space="0" w:color="auto"/>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423"/>
        </w:trPr>
        <w:tc>
          <w:tcPr>
            <w:tcW w:w="2268"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Financial Management (Development and Schools)</w:t>
            </w:r>
          </w:p>
        </w:tc>
        <w:tc>
          <w:tcPr>
            <w:tcW w:w="3828"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Schools thematic audit: payroll</w:t>
            </w:r>
          </w:p>
        </w:tc>
        <w:tc>
          <w:tcPr>
            <w:tcW w:w="7087"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Adequacy and effectiveness of controls to ensure the accuracy and completeness of payroll payments, supported by testing at a sample of schools. </w:t>
            </w:r>
          </w:p>
        </w:tc>
        <w:tc>
          <w:tcPr>
            <w:tcW w:w="851" w:type="dxa"/>
            <w:tcBorders>
              <w:top w:val="nil"/>
            </w:tcBorders>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7E69B1">
        <w:trPr>
          <w:trHeight w:val="409"/>
        </w:trPr>
        <w:tc>
          <w:tcPr>
            <w:tcW w:w="2268" w:type="dxa"/>
            <w:tcBorders>
              <w:bottom w:val="single" w:sz="4" w:space="0" w:color="auto"/>
            </w:tcBorders>
            <w:shd w:val="clear" w:color="auto" w:fill="auto"/>
            <w:hideMark/>
          </w:tcPr>
          <w:p w:rsidR="00295F65"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Financial </w:t>
            </w:r>
            <w:r w:rsidRPr="001359EC">
              <w:rPr>
                <w:rFonts w:ascii="Arial" w:eastAsia="Times New Roman" w:hAnsi="Arial" w:cs="Arial"/>
                <w:color w:val="000000"/>
                <w:lang w:eastAsia="en-GB"/>
              </w:rPr>
              <w:t>Management (Development and Schools)</w:t>
            </w:r>
          </w:p>
        </w:tc>
        <w:tc>
          <w:tcPr>
            <w:tcW w:w="3828" w:type="dxa"/>
            <w:tcBorders>
              <w:bottom w:val="single" w:sz="4" w:space="0" w:color="auto"/>
            </w:tcBorders>
            <w:shd w:val="clear" w:color="auto" w:fill="auto"/>
            <w:hideMark/>
          </w:tcPr>
          <w:p w:rsidR="00295F65"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Schools' Financial Value Standard (SFVS) self-assessments.</w:t>
            </w:r>
          </w:p>
        </w:tc>
        <w:tc>
          <w:tcPr>
            <w:tcW w:w="7087" w:type="dxa"/>
            <w:tcBorders>
              <w:bottom w:val="single" w:sz="4" w:space="0" w:color="auto"/>
            </w:tcBorders>
            <w:shd w:val="clear" w:color="auto" w:fill="auto"/>
            <w:hideMark/>
          </w:tcPr>
          <w:p w:rsidR="00295F65"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Review of a sample of SFVS self-assessments submitted by schools for 2017/18 to ensure their assertions are supported by adequate evidence.</w:t>
            </w:r>
          </w:p>
        </w:tc>
        <w:tc>
          <w:tcPr>
            <w:tcW w:w="851" w:type="dxa"/>
            <w:tcBorders>
              <w:bottom w:val="single" w:sz="4" w:space="0" w:color="auto"/>
            </w:tcBorders>
            <w:shd w:val="clear" w:color="auto" w:fill="auto"/>
            <w:hideMark/>
          </w:tcPr>
          <w:p w:rsidR="00295F65"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7E69B1">
        <w:trPr>
          <w:trHeight w:val="409"/>
        </w:trPr>
        <w:tc>
          <w:tcPr>
            <w:tcW w:w="2268" w:type="dxa"/>
            <w:tcBorders>
              <w:left w:val="nil"/>
              <w:bottom w:val="nil"/>
              <w:right w:val="nil"/>
            </w:tcBorders>
            <w:shd w:val="clear" w:color="auto" w:fill="auto"/>
          </w:tcPr>
          <w:p w:rsidR="007E69B1" w:rsidRPr="001359EC" w:rsidRDefault="00A4433C" w:rsidP="00295F65">
            <w:pPr>
              <w:spacing w:before="40" w:after="40" w:line="240" w:lineRule="auto"/>
              <w:rPr>
                <w:rFonts w:ascii="Arial" w:eastAsia="Times New Roman" w:hAnsi="Arial" w:cs="Arial"/>
                <w:color w:val="000000"/>
                <w:lang w:eastAsia="en-GB"/>
              </w:rPr>
            </w:pPr>
          </w:p>
        </w:tc>
        <w:tc>
          <w:tcPr>
            <w:tcW w:w="3828" w:type="dxa"/>
            <w:tcBorders>
              <w:left w:val="nil"/>
              <w:bottom w:val="nil"/>
              <w:right w:val="nil"/>
            </w:tcBorders>
            <w:shd w:val="clear" w:color="auto" w:fill="auto"/>
          </w:tcPr>
          <w:p w:rsidR="007E69B1" w:rsidRPr="001359EC" w:rsidRDefault="00A4433C" w:rsidP="00295F65">
            <w:pPr>
              <w:spacing w:before="40" w:after="40" w:line="240" w:lineRule="auto"/>
              <w:rPr>
                <w:rFonts w:ascii="Arial" w:eastAsia="Times New Roman" w:hAnsi="Arial" w:cs="Arial"/>
                <w:color w:val="000000"/>
                <w:lang w:eastAsia="en-GB"/>
              </w:rPr>
            </w:pPr>
          </w:p>
        </w:tc>
        <w:tc>
          <w:tcPr>
            <w:tcW w:w="7087" w:type="dxa"/>
            <w:tcBorders>
              <w:left w:val="nil"/>
              <w:bottom w:val="nil"/>
              <w:right w:val="nil"/>
            </w:tcBorders>
            <w:shd w:val="clear" w:color="auto" w:fill="auto"/>
          </w:tcPr>
          <w:p w:rsidR="007E69B1" w:rsidRPr="001359EC" w:rsidRDefault="00A4433C" w:rsidP="00295F65">
            <w:pPr>
              <w:spacing w:before="40" w:after="40" w:line="240" w:lineRule="auto"/>
              <w:rPr>
                <w:rFonts w:ascii="Arial" w:eastAsia="Times New Roman" w:hAnsi="Arial" w:cs="Arial"/>
                <w:color w:val="000000"/>
                <w:lang w:eastAsia="en-GB"/>
              </w:rPr>
            </w:pPr>
          </w:p>
        </w:tc>
        <w:tc>
          <w:tcPr>
            <w:tcW w:w="851" w:type="dxa"/>
            <w:tcBorders>
              <w:left w:val="nil"/>
              <w:bottom w:val="nil"/>
              <w:right w:val="nil"/>
            </w:tcBorders>
            <w:shd w:val="clear" w:color="auto" w:fill="auto"/>
          </w:tcPr>
          <w:p w:rsidR="007E69B1" w:rsidRDefault="00A4433C" w:rsidP="00295F65">
            <w:pPr>
              <w:spacing w:before="40" w:after="40" w:line="240" w:lineRule="auto"/>
              <w:rPr>
                <w:rFonts w:ascii="Arial" w:eastAsia="Times New Roman" w:hAnsi="Arial" w:cs="Arial"/>
                <w:color w:val="000000"/>
                <w:lang w:eastAsia="en-GB"/>
              </w:rPr>
            </w:pPr>
          </w:p>
        </w:tc>
      </w:tr>
      <w:tr w:rsidR="006C32FD" w:rsidTr="007E69B1">
        <w:tc>
          <w:tcPr>
            <w:tcW w:w="13183" w:type="dxa"/>
            <w:gridSpan w:val="3"/>
            <w:tcBorders>
              <w:top w:val="nil"/>
            </w:tcBorders>
            <w:shd w:val="clear" w:color="auto" w:fill="auto"/>
          </w:tcPr>
          <w:p w:rsidR="001359EC" w:rsidRPr="00276A31" w:rsidRDefault="00A4433C" w:rsidP="00295F65">
            <w:pPr>
              <w:spacing w:before="40" w:after="40" w:line="240" w:lineRule="auto"/>
              <w:rPr>
                <w:rFonts w:ascii="Arial" w:hAnsi="Arial" w:cs="Arial"/>
                <w:b/>
              </w:rPr>
            </w:pPr>
            <w:r w:rsidRPr="001359EC">
              <w:rPr>
                <w:rFonts w:ascii="Arial" w:hAnsi="Arial" w:cs="Arial"/>
                <w:b/>
              </w:rPr>
              <w:lastRenderedPageBreak/>
              <w:t xml:space="preserve">Growth, </w:t>
            </w:r>
            <w:r w:rsidRPr="001359EC">
              <w:rPr>
                <w:rFonts w:ascii="Arial" w:hAnsi="Arial" w:cs="Arial"/>
                <w:b/>
              </w:rPr>
              <w:t>Environment, Transport &amp; Community Services</w:t>
            </w:r>
          </w:p>
        </w:tc>
        <w:tc>
          <w:tcPr>
            <w:tcW w:w="851" w:type="dxa"/>
            <w:tcBorders>
              <w:top w:val="nil"/>
            </w:tcBorders>
            <w:shd w:val="clear" w:color="auto" w:fill="auto"/>
          </w:tcPr>
          <w:p w:rsidR="001359EC" w:rsidRDefault="00A4433C" w:rsidP="00295F65">
            <w:pPr>
              <w:spacing w:before="40" w:after="40" w:line="240" w:lineRule="auto"/>
              <w:rPr>
                <w:rFonts w:ascii="Arial" w:eastAsia="Times New Roman" w:hAnsi="Arial" w:cs="Arial"/>
                <w:b/>
                <w:color w:val="000000"/>
                <w:lang w:eastAsia="en-GB"/>
              </w:rPr>
            </w:pPr>
          </w:p>
        </w:tc>
      </w:tr>
      <w:tr w:rsidR="006C32FD" w:rsidTr="00442CA6">
        <w:trPr>
          <w:trHeight w:val="656"/>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Customer Access Service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Safeguarding vulnerable adults and children: reported concerns.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Audit of arrangements within the Customer Access Service (CAS) to identify and report safeguarding concerns to services, </w:t>
            </w:r>
            <w:r w:rsidRPr="001359EC">
              <w:rPr>
                <w:rFonts w:ascii="Arial" w:eastAsia="Times New Roman" w:hAnsi="Arial" w:cs="Arial"/>
                <w:color w:val="000000"/>
                <w:lang w:eastAsia="en-GB"/>
              </w:rPr>
              <w:t>ensuring appropriate action is taken within CAS.</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Customer Access Service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Management assurance processes.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actions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39"/>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Customer Access Service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Blue badge applications.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actions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426"/>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Customer </w:t>
            </w:r>
            <w:r w:rsidRPr="001359EC">
              <w:rPr>
                <w:rFonts w:ascii="Arial" w:eastAsia="Times New Roman" w:hAnsi="Arial" w:cs="Arial"/>
                <w:color w:val="000000"/>
                <w:lang w:eastAsia="en-GB"/>
              </w:rPr>
              <w:t>Access Service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Crisis Support: Care and urgent needs support service</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Assurance over the process for making emergency payments including compliance with policy, eligibility criteria etc. </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176"/>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Customer Access Service</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Customer Access Service: business </w:t>
            </w:r>
            <w:r w:rsidRPr="001359EC">
              <w:rPr>
                <w:rFonts w:ascii="Arial" w:eastAsia="Times New Roman" w:hAnsi="Arial" w:cs="Arial"/>
                <w:color w:val="000000"/>
                <w:lang w:eastAsia="en-GB"/>
              </w:rPr>
              <w:t>continuity.</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As</w:t>
            </w:r>
            <w:r>
              <w:rPr>
                <w:rFonts w:ascii="Arial" w:eastAsia="Times New Roman" w:hAnsi="Arial" w:cs="Arial"/>
                <w:color w:val="000000"/>
                <w:lang w:eastAsia="en-GB"/>
              </w:rPr>
              <w:t>s</w:t>
            </w:r>
            <w:r w:rsidRPr="001359EC">
              <w:rPr>
                <w:rFonts w:ascii="Arial" w:eastAsia="Times New Roman" w:hAnsi="Arial" w:cs="Arial"/>
                <w:color w:val="000000"/>
                <w:lang w:eastAsia="en-GB"/>
              </w:rPr>
              <w:t>essment of the adequacy and effectiveness of controls to manage business continuity in the event of loss of telephony services.</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1</w:t>
            </w:r>
          </w:p>
        </w:tc>
      </w:tr>
      <w:tr w:rsidR="006C32FD" w:rsidTr="00442CA6">
        <w:trPr>
          <w:trHeight w:val="521"/>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Design &amp; Construction</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Contractors' compliance with legislative requirements.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Assurance that the in-house </w:t>
            </w:r>
            <w:r w:rsidRPr="001359EC">
              <w:rPr>
                <w:rFonts w:ascii="Arial" w:eastAsia="Times New Roman" w:hAnsi="Arial" w:cs="Arial"/>
                <w:color w:val="000000"/>
                <w:lang w:eastAsia="en-GB"/>
              </w:rPr>
              <w:t>monitoring of contractors' compliance with contract specifications are appropriate to</w:t>
            </w:r>
            <w:r>
              <w:rPr>
                <w:rFonts w:ascii="Arial" w:eastAsia="Times New Roman" w:hAnsi="Arial" w:cs="Arial"/>
                <w:color w:val="000000"/>
                <w:lang w:eastAsia="en-GB"/>
              </w:rPr>
              <w:t xml:space="preserve"> ensure legislative compliance.</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Design &amp; Construction</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Contract monitoring: contracts with Atkins and Jacobs.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Audit of the system to monitor services delivered through</w:t>
            </w:r>
            <w:r w:rsidRPr="001359EC">
              <w:rPr>
                <w:rFonts w:ascii="Arial" w:eastAsia="Times New Roman" w:hAnsi="Arial" w:cs="Arial"/>
                <w:color w:val="000000"/>
                <w:lang w:eastAsia="en-GB"/>
              </w:rPr>
              <w:t xml:space="preserve"> the Atkins and Jacobs contracts.</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163"/>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Highways</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Operation of the Highways Asset Management System (HAMS).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Re-assessment of the operation of the system, with compliance testing if appropriate and a focus on the payment of invoices arising from orders </w:t>
            </w:r>
            <w:r w:rsidRPr="001359EC">
              <w:rPr>
                <w:rFonts w:ascii="Arial" w:eastAsia="Times New Roman" w:hAnsi="Arial" w:cs="Arial"/>
                <w:color w:val="000000"/>
                <w:lang w:eastAsia="en-GB"/>
              </w:rPr>
              <w:t>generated within the system.</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Highways</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Pre-planning application advice service.</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action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Highways</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Highways: health and safety.</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An audit of the service's controls to ensure the risks to Highways operative's health and </w:t>
            </w:r>
            <w:r w:rsidRPr="001359EC">
              <w:rPr>
                <w:rFonts w:ascii="Arial" w:eastAsia="Times New Roman" w:hAnsi="Arial" w:cs="Arial"/>
                <w:color w:val="000000"/>
                <w:lang w:eastAsia="en-GB"/>
              </w:rPr>
              <w:t>safety are adequately and effectively mitigated.</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Highways</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Vehicle hire and return.</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Compliance testing of the controls identified during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Highways</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Contract monitoring: Highways Service contracts.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action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Public &amp; Integrated Transport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Safeguarding in the provision of transport for children.</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action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422"/>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lastRenderedPageBreak/>
              <w:t>Public &amp; Integrated Transport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Concessionary travel: NOW Card.</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6668D4">
              <w:rPr>
                <w:rFonts w:ascii="Arial" w:eastAsia="Times New Roman" w:hAnsi="Arial" w:cs="Arial"/>
                <w:color w:val="000000"/>
                <w:lang w:eastAsia="en-GB"/>
              </w:rPr>
              <w:t xml:space="preserve">Audit of controls over the management of NOW cards including </w:t>
            </w:r>
            <w:r w:rsidRPr="006668D4">
              <w:rPr>
                <w:rFonts w:ascii="Arial" w:eastAsia="Times New Roman" w:hAnsi="Arial" w:cs="Arial"/>
                <w:color w:val="000000"/>
                <w:lang w:eastAsia="en-GB"/>
              </w:rPr>
              <w:t>checking eligibility, financial management and the security of personal data.</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142"/>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Public &amp; Integrated Transport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School bus passes.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6668D4">
              <w:rPr>
                <w:rFonts w:ascii="Arial" w:eastAsia="Times New Roman" w:hAnsi="Arial" w:cs="Arial"/>
                <w:color w:val="000000"/>
                <w:lang w:eastAsia="en-GB"/>
              </w:rPr>
              <w:t xml:space="preserve">Audit of the management of bus passes, including checking eligibility, financial management and the security of personal </w:t>
            </w:r>
            <w:r w:rsidRPr="006668D4">
              <w:rPr>
                <w:rFonts w:ascii="Arial" w:eastAsia="Times New Roman" w:hAnsi="Arial" w:cs="Arial"/>
                <w:color w:val="000000"/>
                <w:lang w:eastAsia="en-GB"/>
              </w:rPr>
              <w:t>data. Eligibility assessments are done by the School Improvement service.</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73"/>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Public &amp; Integrated Transport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Public service vehicle operator licences: compliance with licence requirements. </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As</w:t>
            </w:r>
            <w:r>
              <w:rPr>
                <w:rFonts w:ascii="Arial" w:eastAsia="Times New Roman" w:hAnsi="Arial" w:cs="Arial"/>
                <w:color w:val="000000"/>
                <w:lang w:eastAsia="en-GB"/>
              </w:rPr>
              <w:t>s</w:t>
            </w:r>
            <w:r w:rsidRPr="001359EC">
              <w:rPr>
                <w:rFonts w:ascii="Arial" w:eastAsia="Times New Roman" w:hAnsi="Arial" w:cs="Arial"/>
                <w:color w:val="000000"/>
                <w:lang w:eastAsia="en-GB"/>
              </w:rPr>
              <w:t xml:space="preserve">essment of controls to ensure compliance with licence </w:t>
            </w:r>
            <w:r w:rsidRPr="001359EC">
              <w:rPr>
                <w:rFonts w:ascii="Arial" w:eastAsia="Times New Roman" w:hAnsi="Arial" w:cs="Arial"/>
                <w:color w:val="000000"/>
                <w:lang w:eastAsia="en-GB"/>
              </w:rPr>
              <w:t>requirements, focussing on requirements to ensure vehicles are roadworthy.</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84"/>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Waste Management</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Contract monitoring: waste landfill contract.</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action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206"/>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Lancashire Renewables</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Governance and decision making.</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Audit of the arrangements supporting effective governance and oversight by the council including the company's decision making, reporting and risk and performance management. </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Lancashire Renewables</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Procurement.</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Audit of the company's procurement to </w:t>
            </w:r>
            <w:r w:rsidRPr="001359EC">
              <w:rPr>
                <w:rFonts w:ascii="Arial" w:eastAsia="Times New Roman" w:hAnsi="Arial" w:cs="Arial"/>
                <w:color w:val="000000"/>
                <w:lang w:eastAsia="en-GB"/>
              </w:rPr>
              <w:t>ensure that spending is legitimate and appropriate.</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7"/>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Libraries, Museums, Culture and Registration</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Registrars' income.</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Follow-up of action agreed in 2017/18.</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95"/>
        </w:trPr>
        <w:tc>
          <w:tcPr>
            <w:tcW w:w="226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Business Growth</w:t>
            </w:r>
          </w:p>
        </w:tc>
        <w:tc>
          <w:tcPr>
            <w:tcW w:w="3828"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Business Growth Hubs.</w:t>
            </w:r>
          </w:p>
        </w:tc>
        <w:tc>
          <w:tcPr>
            <w:tcW w:w="7087"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sidRPr="001359EC">
              <w:rPr>
                <w:rFonts w:ascii="Arial" w:eastAsia="Times New Roman" w:hAnsi="Arial" w:cs="Arial"/>
                <w:color w:val="000000"/>
                <w:lang w:eastAsia="en-GB"/>
              </w:rPr>
              <w:t xml:space="preserve">Audit of the plans in place to complete the programme </w:t>
            </w:r>
            <w:r w:rsidRPr="001359EC">
              <w:rPr>
                <w:rFonts w:ascii="Arial" w:eastAsia="Times New Roman" w:hAnsi="Arial" w:cs="Arial"/>
                <w:color w:val="000000"/>
                <w:lang w:eastAsia="en-GB"/>
              </w:rPr>
              <w:t>and expend the available funds before the programme ends in 2018, focussing particularly on controls over commissioning and procuring work from external suppliers.</w:t>
            </w:r>
          </w:p>
        </w:tc>
        <w:tc>
          <w:tcPr>
            <w:tcW w:w="851" w:type="dxa"/>
            <w:shd w:val="clear" w:color="auto" w:fill="auto"/>
            <w:hideMark/>
          </w:tcPr>
          <w:p w:rsidR="001359EC" w:rsidRPr="001359EC"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c>
          <w:tcPr>
            <w:tcW w:w="13183" w:type="dxa"/>
            <w:gridSpan w:val="3"/>
            <w:shd w:val="clear" w:color="auto" w:fill="auto"/>
          </w:tcPr>
          <w:p w:rsidR="001359EC" w:rsidRPr="00276A31" w:rsidRDefault="00A4433C" w:rsidP="00295F65">
            <w:pPr>
              <w:spacing w:before="40" w:after="40" w:line="240" w:lineRule="auto"/>
              <w:rPr>
                <w:rFonts w:ascii="Arial" w:hAnsi="Arial" w:cs="Arial"/>
                <w:b/>
              </w:rPr>
            </w:pPr>
            <w:r w:rsidRPr="006668D4">
              <w:rPr>
                <w:rFonts w:ascii="Arial" w:hAnsi="Arial" w:cs="Arial"/>
                <w:b/>
              </w:rPr>
              <w:t>Finance</w:t>
            </w:r>
            <w:r>
              <w:rPr>
                <w:rFonts w:ascii="Arial" w:hAnsi="Arial" w:cs="Arial"/>
                <w:b/>
              </w:rPr>
              <w:t xml:space="preserve"> s</w:t>
            </w:r>
            <w:r w:rsidRPr="001359EC">
              <w:rPr>
                <w:rFonts w:ascii="Arial" w:hAnsi="Arial" w:cs="Arial"/>
                <w:b/>
              </w:rPr>
              <w:t>ervices</w:t>
            </w:r>
          </w:p>
        </w:tc>
        <w:tc>
          <w:tcPr>
            <w:tcW w:w="851" w:type="dxa"/>
            <w:shd w:val="clear" w:color="auto" w:fill="auto"/>
          </w:tcPr>
          <w:p w:rsidR="001359EC" w:rsidRDefault="00A4433C" w:rsidP="00295F65">
            <w:pPr>
              <w:spacing w:before="40" w:after="40" w:line="240" w:lineRule="auto"/>
              <w:rPr>
                <w:rFonts w:ascii="Arial" w:eastAsia="Times New Roman" w:hAnsi="Arial" w:cs="Arial"/>
                <w:b/>
                <w:color w:val="000000"/>
                <w:lang w:eastAsia="en-GB"/>
              </w:rPr>
            </w:pPr>
          </w:p>
        </w:tc>
      </w:tr>
      <w:tr w:rsidR="006C32FD" w:rsidTr="00442CA6">
        <w:trPr>
          <w:trHeight w:val="1104"/>
        </w:trPr>
        <w:tc>
          <w:tcPr>
            <w:tcW w:w="2268" w:type="dxa"/>
            <w:shd w:val="clear" w:color="auto" w:fill="auto"/>
            <w:hideMark/>
          </w:tcPr>
          <w:p w:rsidR="006C471D" w:rsidRPr="006C471D" w:rsidRDefault="00A4433C" w:rsidP="00295F65">
            <w:pPr>
              <w:spacing w:before="40" w:after="40" w:line="240" w:lineRule="auto"/>
              <w:rPr>
                <w:rFonts w:ascii="Arial" w:eastAsia="Times New Roman" w:hAnsi="Arial" w:cs="Arial"/>
                <w:lang w:eastAsia="en-GB"/>
              </w:rPr>
            </w:pPr>
            <w:r w:rsidRPr="006C471D">
              <w:rPr>
                <w:rFonts w:ascii="Arial" w:eastAsia="Times New Roman" w:hAnsi="Arial" w:cs="Arial"/>
                <w:lang w:eastAsia="en-GB"/>
              </w:rPr>
              <w:t>Financial Management (Development and Schools)</w:t>
            </w:r>
          </w:p>
        </w:tc>
        <w:tc>
          <w:tcPr>
            <w:tcW w:w="382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Commissioning, design</w:t>
            </w:r>
            <w:r w:rsidRPr="006C471D">
              <w:rPr>
                <w:rFonts w:ascii="Arial" w:eastAsia="Times New Roman" w:hAnsi="Arial" w:cs="Arial"/>
                <w:color w:val="000000"/>
                <w:lang w:eastAsia="en-GB"/>
              </w:rPr>
              <w:t xml:space="preserve"> and monitoring of the capital programme.</w:t>
            </w:r>
          </w:p>
        </w:tc>
        <w:tc>
          <w:tcPr>
            <w:tcW w:w="7087"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Compliance testing of the controls in place as they have become embedded, from project inception to its reporting in the council's financial statements.</w:t>
            </w:r>
          </w:p>
        </w:tc>
        <w:tc>
          <w:tcPr>
            <w:tcW w:w="851"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7E69B1">
        <w:trPr>
          <w:trHeight w:val="552"/>
        </w:trPr>
        <w:tc>
          <w:tcPr>
            <w:tcW w:w="2268"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lang w:eastAsia="en-GB"/>
              </w:rPr>
            </w:pPr>
            <w:r w:rsidRPr="006C471D">
              <w:rPr>
                <w:rFonts w:ascii="Arial" w:eastAsia="Times New Roman" w:hAnsi="Arial" w:cs="Arial"/>
                <w:lang w:eastAsia="en-GB"/>
              </w:rPr>
              <w:t>Pension Fund</w:t>
            </w:r>
          </w:p>
        </w:tc>
        <w:tc>
          <w:tcPr>
            <w:tcW w:w="3828"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 xml:space="preserve">New custodianship arrangements for the </w:t>
            </w:r>
            <w:r w:rsidRPr="006C471D">
              <w:rPr>
                <w:rFonts w:ascii="Arial" w:eastAsia="Times New Roman" w:hAnsi="Arial" w:cs="Arial"/>
                <w:color w:val="000000"/>
                <w:lang w:eastAsia="en-GB"/>
              </w:rPr>
              <w:t>Lancashire Pension Fund</w:t>
            </w:r>
          </w:p>
        </w:tc>
        <w:tc>
          <w:tcPr>
            <w:tcW w:w="7087"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Audit of new arrangements following the award of a new contact, including compliance testing.</w:t>
            </w:r>
          </w:p>
        </w:tc>
        <w:tc>
          <w:tcPr>
            <w:tcW w:w="851"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7E69B1">
        <w:trPr>
          <w:trHeight w:val="73"/>
        </w:trPr>
        <w:tc>
          <w:tcPr>
            <w:tcW w:w="2268" w:type="dxa"/>
            <w:tcBorders>
              <w:left w:val="nil"/>
              <w:bottom w:val="nil"/>
              <w:right w:val="nil"/>
            </w:tcBorders>
            <w:shd w:val="clear" w:color="auto" w:fill="auto"/>
          </w:tcPr>
          <w:p w:rsidR="007E69B1" w:rsidRPr="006C471D" w:rsidRDefault="00A4433C" w:rsidP="00295F65">
            <w:pPr>
              <w:spacing w:before="40" w:after="40" w:line="240" w:lineRule="auto"/>
              <w:rPr>
                <w:rFonts w:ascii="Arial" w:eastAsia="Times New Roman" w:hAnsi="Arial" w:cs="Arial"/>
                <w:lang w:eastAsia="en-GB"/>
              </w:rPr>
            </w:pPr>
          </w:p>
        </w:tc>
        <w:tc>
          <w:tcPr>
            <w:tcW w:w="3828" w:type="dxa"/>
            <w:tcBorders>
              <w:left w:val="nil"/>
              <w:bottom w:val="nil"/>
              <w:right w:val="nil"/>
            </w:tcBorders>
            <w:shd w:val="clear" w:color="auto" w:fill="auto"/>
          </w:tcPr>
          <w:p w:rsidR="007E69B1" w:rsidRPr="006C471D" w:rsidRDefault="00A4433C" w:rsidP="00295F65">
            <w:pPr>
              <w:spacing w:before="40" w:after="40" w:line="240" w:lineRule="auto"/>
              <w:rPr>
                <w:rFonts w:ascii="Arial" w:eastAsia="Times New Roman" w:hAnsi="Arial" w:cs="Arial"/>
                <w:color w:val="000000"/>
                <w:lang w:eastAsia="en-GB"/>
              </w:rPr>
            </w:pPr>
          </w:p>
        </w:tc>
        <w:tc>
          <w:tcPr>
            <w:tcW w:w="7087" w:type="dxa"/>
            <w:tcBorders>
              <w:left w:val="nil"/>
              <w:bottom w:val="nil"/>
              <w:right w:val="nil"/>
            </w:tcBorders>
            <w:shd w:val="clear" w:color="auto" w:fill="auto"/>
          </w:tcPr>
          <w:p w:rsidR="007E69B1" w:rsidRPr="006C471D" w:rsidRDefault="00A4433C" w:rsidP="00295F65">
            <w:pPr>
              <w:spacing w:before="40" w:after="40" w:line="240" w:lineRule="auto"/>
              <w:rPr>
                <w:rFonts w:ascii="Arial" w:eastAsia="Times New Roman" w:hAnsi="Arial" w:cs="Arial"/>
                <w:color w:val="000000"/>
                <w:lang w:eastAsia="en-GB"/>
              </w:rPr>
            </w:pPr>
          </w:p>
        </w:tc>
        <w:tc>
          <w:tcPr>
            <w:tcW w:w="851" w:type="dxa"/>
            <w:tcBorders>
              <w:left w:val="nil"/>
              <w:bottom w:val="nil"/>
              <w:right w:val="nil"/>
            </w:tcBorders>
            <w:shd w:val="clear" w:color="auto" w:fill="auto"/>
          </w:tcPr>
          <w:p w:rsidR="007E69B1" w:rsidRDefault="00A4433C" w:rsidP="00295F65">
            <w:pPr>
              <w:spacing w:before="40" w:after="40" w:line="240" w:lineRule="auto"/>
              <w:rPr>
                <w:rFonts w:ascii="Arial" w:eastAsia="Times New Roman" w:hAnsi="Arial" w:cs="Arial"/>
                <w:color w:val="000000"/>
                <w:lang w:eastAsia="en-GB"/>
              </w:rPr>
            </w:pPr>
          </w:p>
        </w:tc>
      </w:tr>
      <w:tr w:rsidR="006C32FD" w:rsidTr="007E69B1">
        <w:tc>
          <w:tcPr>
            <w:tcW w:w="13183" w:type="dxa"/>
            <w:gridSpan w:val="3"/>
            <w:tcBorders>
              <w:top w:val="nil"/>
            </w:tcBorders>
            <w:shd w:val="clear" w:color="auto" w:fill="F2F2F2" w:themeFill="background1" w:themeFillShade="F2"/>
          </w:tcPr>
          <w:p w:rsidR="001D6363" w:rsidRPr="000C46C2" w:rsidRDefault="00A4433C" w:rsidP="00295F65">
            <w:pPr>
              <w:spacing w:before="40" w:after="40" w:line="240" w:lineRule="auto"/>
              <w:rPr>
                <w:rFonts w:ascii="Arial" w:eastAsia="Times New Roman" w:hAnsi="Arial" w:cs="Arial"/>
                <w:b/>
                <w:lang w:eastAsia="en-GB"/>
              </w:rPr>
            </w:pPr>
            <w:r>
              <w:rPr>
                <w:rFonts w:ascii="Arial" w:eastAsia="Times New Roman" w:hAnsi="Arial" w:cs="Arial"/>
                <w:b/>
                <w:lang w:eastAsia="en-GB"/>
              </w:rPr>
              <w:lastRenderedPageBreak/>
              <w:t>Control framework: service support</w:t>
            </w:r>
          </w:p>
        </w:tc>
        <w:tc>
          <w:tcPr>
            <w:tcW w:w="851" w:type="dxa"/>
            <w:tcBorders>
              <w:top w:val="nil"/>
            </w:tcBorders>
            <w:shd w:val="clear" w:color="auto" w:fill="F2F2F2" w:themeFill="background1" w:themeFillShade="F2"/>
          </w:tcPr>
          <w:p w:rsidR="001D6363" w:rsidRDefault="00A4433C" w:rsidP="00295F65">
            <w:pPr>
              <w:spacing w:before="40" w:after="40" w:line="240" w:lineRule="auto"/>
              <w:rPr>
                <w:rFonts w:ascii="Arial" w:eastAsia="Times New Roman" w:hAnsi="Arial" w:cs="Arial"/>
                <w:b/>
                <w:lang w:eastAsia="en-GB"/>
              </w:rPr>
            </w:pPr>
          </w:p>
        </w:tc>
      </w:tr>
      <w:tr w:rsidR="006C32FD" w:rsidTr="00442CA6">
        <w:trPr>
          <w:trHeight w:val="568"/>
        </w:trPr>
        <w:tc>
          <w:tcPr>
            <w:tcW w:w="226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Skills, Learning &amp; Development</w:t>
            </w:r>
          </w:p>
        </w:tc>
        <w:tc>
          <w:tcPr>
            <w:tcW w:w="382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Teaching partnership: governance and financial arrangements.</w:t>
            </w:r>
          </w:p>
        </w:tc>
        <w:tc>
          <w:tcPr>
            <w:tcW w:w="7087"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Early input to the development of governance and financial arrangements to support joint working across the upper tier authorities and two of the universities in the county.</w:t>
            </w:r>
          </w:p>
        </w:tc>
        <w:tc>
          <w:tcPr>
            <w:tcW w:w="851"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1</w:t>
            </w:r>
          </w:p>
        </w:tc>
      </w:tr>
      <w:tr w:rsidR="006C32FD" w:rsidTr="00442CA6">
        <w:trPr>
          <w:trHeight w:val="96"/>
        </w:trPr>
        <w:tc>
          <w:tcPr>
            <w:tcW w:w="226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Skills, Learning &amp; Development</w:t>
            </w:r>
          </w:p>
        </w:tc>
        <w:tc>
          <w:tcPr>
            <w:tcW w:w="382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'Step up to Social Work' contract.</w:t>
            </w:r>
          </w:p>
        </w:tc>
        <w:tc>
          <w:tcPr>
            <w:tcW w:w="7087"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Assurance ov</w:t>
            </w:r>
            <w:r w:rsidRPr="006C471D">
              <w:rPr>
                <w:rFonts w:ascii="Arial" w:eastAsia="Times New Roman" w:hAnsi="Arial" w:cs="Arial"/>
                <w:color w:val="000000"/>
                <w:lang w:eastAsia="en-GB"/>
              </w:rPr>
              <w:t>er operation of the contract used to place selected graduates onto a fast track scheme as leaders of the future.</w:t>
            </w:r>
          </w:p>
        </w:tc>
        <w:tc>
          <w:tcPr>
            <w:tcW w:w="851"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302"/>
        </w:trPr>
        <w:tc>
          <w:tcPr>
            <w:tcW w:w="226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Skills, Learning &amp; Development</w:t>
            </w:r>
          </w:p>
        </w:tc>
        <w:tc>
          <w:tcPr>
            <w:tcW w:w="382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Apprenticeship Levy.</w:t>
            </w:r>
          </w:p>
        </w:tc>
        <w:tc>
          <w:tcPr>
            <w:tcW w:w="7087"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Follow-up of actions agreed in 2017/18.</w:t>
            </w:r>
          </w:p>
        </w:tc>
        <w:tc>
          <w:tcPr>
            <w:tcW w:w="851"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932"/>
        </w:trPr>
        <w:tc>
          <w:tcPr>
            <w:tcW w:w="226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Estates</w:t>
            </w:r>
          </w:p>
        </w:tc>
        <w:tc>
          <w:tcPr>
            <w:tcW w:w="382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Health and safety of individuals in</w:t>
            </w:r>
            <w:r w:rsidRPr="006C471D">
              <w:rPr>
                <w:rFonts w:ascii="Arial" w:eastAsia="Times New Roman" w:hAnsi="Arial" w:cs="Arial"/>
                <w:color w:val="000000"/>
                <w:lang w:eastAsia="en-GB"/>
              </w:rPr>
              <w:t xml:space="preserve"> commercial pr</w:t>
            </w:r>
            <w:r>
              <w:rPr>
                <w:rFonts w:ascii="Arial" w:eastAsia="Times New Roman" w:hAnsi="Arial" w:cs="Arial"/>
                <w:color w:val="000000"/>
                <w:lang w:eastAsia="en-GB"/>
              </w:rPr>
              <w:t>operties managed by the council</w:t>
            </w:r>
            <w:r w:rsidRPr="006C471D">
              <w:rPr>
                <w:rFonts w:ascii="Arial" w:eastAsia="Times New Roman" w:hAnsi="Arial" w:cs="Arial"/>
                <w:color w:val="000000"/>
                <w:lang w:eastAsia="en-GB"/>
              </w:rPr>
              <w:t>.</w:t>
            </w:r>
          </w:p>
        </w:tc>
        <w:tc>
          <w:tcPr>
            <w:tcW w:w="7087"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Assurance over the adequacy of arrangements to ensure staff and contractors' safety in council-managed, commercially let properties</w:t>
            </w:r>
            <w:r>
              <w:rPr>
                <w:rFonts w:ascii="Arial" w:eastAsia="Times New Roman" w:hAnsi="Arial" w:cs="Arial"/>
                <w:color w:val="000000"/>
                <w:lang w:eastAsia="en-GB"/>
              </w:rPr>
              <w:t xml:space="preserve">, through </w:t>
            </w:r>
            <w:r w:rsidRPr="006C471D">
              <w:rPr>
                <w:rFonts w:ascii="Arial" w:eastAsia="Times New Roman" w:hAnsi="Arial" w:cs="Arial"/>
                <w:color w:val="000000"/>
                <w:lang w:eastAsia="en-GB"/>
              </w:rPr>
              <w:t>compliance with legislative and other applicable health and safety r</w:t>
            </w:r>
            <w:r w:rsidRPr="006C471D">
              <w:rPr>
                <w:rFonts w:ascii="Arial" w:eastAsia="Times New Roman" w:hAnsi="Arial" w:cs="Arial"/>
                <w:color w:val="000000"/>
                <w:lang w:eastAsia="en-GB"/>
              </w:rPr>
              <w:t>equirements</w:t>
            </w:r>
            <w:r w:rsidRPr="006C471D">
              <w:rPr>
                <w:rFonts w:ascii="Arial" w:eastAsia="Times New Roman" w:hAnsi="Arial" w:cs="Arial"/>
                <w:color w:val="000000"/>
                <w:lang w:eastAsia="en-GB"/>
              </w:rPr>
              <w:t>.</w:t>
            </w:r>
          </w:p>
        </w:tc>
        <w:tc>
          <w:tcPr>
            <w:tcW w:w="851"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295F65">
        <w:trPr>
          <w:trHeight w:val="73"/>
        </w:trPr>
        <w:tc>
          <w:tcPr>
            <w:tcW w:w="226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Asset Management</w:t>
            </w:r>
          </w:p>
        </w:tc>
        <w:tc>
          <w:tcPr>
            <w:tcW w:w="382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Health and safety of individuals in pr</w:t>
            </w:r>
            <w:r>
              <w:rPr>
                <w:rFonts w:ascii="Arial" w:eastAsia="Times New Roman" w:hAnsi="Arial" w:cs="Arial"/>
                <w:color w:val="000000"/>
                <w:lang w:eastAsia="en-GB"/>
              </w:rPr>
              <w:t>operties managed by the council</w:t>
            </w:r>
            <w:r w:rsidRPr="006C471D">
              <w:rPr>
                <w:rFonts w:ascii="Arial" w:eastAsia="Times New Roman" w:hAnsi="Arial" w:cs="Arial"/>
                <w:color w:val="000000"/>
                <w:lang w:eastAsia="en-GB"/>
              </w:rPr>
              <w:t>.</w:t>
            </w:r>
          </w:p>
        </w:tc>
        <w:tc>
          <w:tcPr>
            <w:tcW w:w="7087"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 xml:space="preserve">Assessment of the process by which compliance with statutory and other requirements are assured by the newly-established compliance team supported by </w:t>
            </w:r>
            <w:r w:rsidRPr="006C471D">
              <w:rPr>
                <w:rFonts w:ascii="Arial" w:eastAsia="Times New Roman" w:hAnsi="Arial" w:cs="Arial"/>
                <w:color w:val="000000"/>
                <w:lang w:eastAsia="en-GB"/>
              </w:rPr>
              <w:t>PAMS across properties managed by the council.</w:t>
            </w:r>
          </w:p>
        </w:tc>
        <w:tc>
          <w:tcPr>
            <w:tcW w:w="851"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52"/>
        </w:trPr>
        <w:tc>
          <w:tcPr>
            <w:tcW w:w="226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Exchequer Services</w:t>
            </w:r>
          </w:p>
        </w:tc>
        <w:tc>
          <w:tcPr>
            <w:tcW w:w="3828"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Recovery of costs through income from partner organisations.</w:t>
            </w:r>
          </w:p>
        </w:tc>
        <w:tc>
          <w:tcPr>
            <w:tcW w:w="7087"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Follow-up of actions agreed in 2017/18.</w:t>
            </w:r>
          </w:p>
        </w:tc>
        <w:tc>
          <w:tcPr>
            <w:tcW w:w="851" w:type="dxa"/>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7E69B1">
        <w:trPr>
          <w:trHeight w:val="112"/>
        </w:trPr>
        <w:tc>
          <w:tcPr>
            <w:tcW w:w="2268"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Corporate Finance</w:t>
            </w:r>
          </w:p>
        </w:tc>
        <w:tc>
          <w:tcPr>
            <w:tcW w:w="3828"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Corporate banking arrangements.</w:t>
            </w:r>
          </w:p>
        </w:tc>
        <w:tc>
          <w:tcPr>
            <w:tcW w:w="7087"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 xml:space="preserve">Identification and evaluation of adequacy of the control framework surrounding the new banking arrangements. </w:t>
            </w:r>
          </w:p>
        </w:tc>
        <w:tc>
          <w:tcPr>
            <w:tcW w:w="851" w:type="dxa"/>
            <w:tcBorders>
              <w:bottom w:val="single" w:sz="4" w:space="0" w:color="auto"/>
            </w:tcBorders>
            <w:shd w:val="clear" w:color="auto" w:fill="auto"/>
            <w:hideMark/>
          </w:tcPr>
          <w:p w:rsidR="006C471D" w:rsidRPr="006C471D" w:rsidRDefault="00A4433C" w:rsidP="00295F65">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1</w:t>
            </w:r>
          </w:p>
        </w:tc>
      </w:tr>
      <w:tr w:rsidR="006C32FD" w:rsidTr="007E69B1">
        <w:tc>
          <w:tcPr>
            <w:tcW w:w="13183" w:type="dxa"/>
            <w:gridSpan w:val="3"/>
            <w:tcBorders>
              <w:top w:val="nil"/>
            </w:tcBorders>
            <w:shd w:val="clear" w:color="auto" w:fill="F2F2F2" w:themeFill="background1" w:themeFillShade="F2"/>
          </w:tcPr>
          <w:p w:rsidR="001D6363" w:rsidRPr="000C46C2" w:rsidRDefault="00A4433C" w:rsidP="00295F65">
            <w:pPr>
              <w:spacing w:before="40" w:after="40" w:line="240" w:lineRule="auto"/>
              <w:rPr>
                <w:rFonts w:ascii="Arial" w:eastAsia="Times New Roman" w:hAnsi="Arial" w:cs="Arial"/>
                <w:b/>
                <w:lang w:eastAsia="en-GB"/>
              </w:rPr>
            </w:pPr>
            <w:r>
              <w:rPr>
                <w:rFonts w:ascii="Arial" w:eastAsia="Times New Roman" w:hAnsi="Arial" w:cs="Arial"/>
                <w:b/>
                <w:lang w:eastAsia="en-GB"/>
              </w:rPr>
              <w:t>Control framework: business processes</w:t>
            </w:r>
          </w:p>
        </w:tc>
        <w:tc>
          <w:tcPr>
            <w:tcW w:w="851" w:type="dxa"/>
            <w:tcBorders>
              <w:top w:val="nil"/>
            </w:tcBorders>
            <w:shd w:val="clear" w:color="auto" w:fill="F2F2F2" w:themeFill="background1" w:themeFillShade="F2"/>
          </w:tcPr>
          <w:p w:rsidR="001D6363" w:rsidRDefault="00A4433C" w:rsidP="00295F65">
            <w:pPr>
              <w:spacing w:before="40" w:after="40" w:line="240" w:lineRule="auto"/>
              <w:rPr>
                <w:rFonts w:ascii="Arial" w:eastAsia="Times New Roman" w:hAnsi="Arial" w:cs="Arial"/>
                <w:b/>
                <w:lang w:eastAsia="en-GB"/>
              </w:rPr>
            </w:pPr>
          </w:p>
        </w:tc>
      </w:tr>
      <w:tr w:rsidR="006C32FD" w:rsidTr="00442CA6">
        <w:trPr>
          <w:trHeight w:val="484"/>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Core Systems &amp; Transformation</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Oracle user access.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Support to the Core Systems &amp; Transformation team as </w:t>
            </w:r>
            <w:r w:rsidRPr="001D6363">
              <w:rPr>
                <w:rFonts w:ascii="Arial" w:eastAsia="Times New Roman" w:hAnsi="Arial" w:cs="Arial"/>
                <w:color w:val="000000"/>
                <w:lang w:eastAsia="en-GB"/>
              </w:rPr>
              <w:t>they review Oracle user access, using IDEA software to interrogate their information.</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1</w:t>
            </w:r>
          </w:p>
        </w:tc>
      </w:tr>
      <w:tr w:rsidR="006C32FD" w:rsidTr="00442CA6">
        <w:trPr>
          <w:trHeight w:val="284"/>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Core Systems &amp; Transformation</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LAS and LCS user access permissions.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Assurance that user access permissions are appropriately granted and managed.</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22"/>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Core Systems &amp; </w:t>
            </w:r>
            <w:r w:rsidRPr="001D6363">
              <w:rPr>
                <w:rFonts w:ascii="Arial" w:eastAsia="Times New Roman" w:hAnsi="Arial" w:cs="Arial"/>
                <w:color w:val="000000"/>
                <w:lang w:eastAsia="en-GB"/>
              </w:rPr>
              <w:t>Transformation</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Access controls and system security.</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Core Systems &amp; Transformation</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Children's Services' LCS system helpdesk.</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actions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111"/>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lastRenderedPageBreak/>
              <w:t>Public &amp; Integrated Transport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Accounts </w:t>
            </w:r>
            <w:r w:rsidRPr="001D6363">
              <w:rPr>
                <w:rFonts w:ascii="Arial" w:eastAsia="Times New Roman" w:hAnsi="Arial" w:cs="Arial"/>
                <w:color w:val="000000"/>
                <w:lang w:eastAsia="en-GB"/>
              </w:rPr>
              <w:t>receivable: RAMP.</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Public &amp; Integrated Transport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Accounts payable: RAMP.</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271"/>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Public &amp; Integrated Transport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Accounts payable: CART.</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323"/>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Governance Service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Information management: compliance with the new General Data Protection Regulations.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Review of the policy and procedures supporting the introduction of GDPR, and specifically the council's achievement of the ICO's 12-point checklist.</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73"/>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Governance Service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Information management: information security and management.</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High-level assessment of the way information is managed within critical service areas, following corporate policy.</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73"/>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Records Management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Information management: Information storage and retention. </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Review of the adequacy of corporate policies on document retention, referencing, filing structures and contingency arrangements including compliance testing within services.</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52"/>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Governance Servic</w:t>
            </w:r>
            <w:r w:rsidRPr="001D6363">
              <w:rPr>
                <w:rFonts w:ascii="Arial" w:eastAsia="Times New Roman" w:hAnsi="Arial" w:cs="Arial"/>
                <w:color w:val="000000"/>
                <w:lang w:eastAsia="en-GB"/>
              </w:rPr>
              <w:t>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Information governance: FOIs and SARs.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actions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828"/>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Human Resources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Lancashire Teaching Partnership: contract management arrangements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Review of the monitoring arrangements over the contract for provision of agency teaching </w:t>
            </w:r>
            <w:r w:rsidRPr="001D6363">
              <w:rPr>
                <w:rFonts w:ascii="Arial" w:eastAsia="Times New Roman" w:hAnsi="Arial" w:cs="Arial"/>
                <w:color w:val="000000"/>
                <w:lang w:eastAsia="en-GB"/>
              </w:rPr>
              <w:t>staff to schools which is to be re-let with effect from June 2018.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284"/>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Human Resources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Allowances claimed by officers.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Audit of the adequacy and effectiveness of arrangements for claiming and approving officers' allowances including holiday pay, overtime,</w:t>
            </w:r>
            <w:r w:rsidRPr="001D6363">
              <w:rPr>
                <w:rFonts w:ascii="Arial" w:eastAsia="Times New Roman" w:hAnsi="Arial" w:cs="Arial"/>
                <w:color w:val="000000"/>
                <w:lang w:eastAsia="en-GB"/>
              </w:rPr>
              <w:t xml:space="preserve"> shift pay and miscellaneous claims with testing across a range of services.</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61"/>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Finance; BTLS; Human Resources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The use of contractors through personal service companies and compliance with IR 35.</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Review of the policies in place to ensure compliance with </w:t>
            </w:r>
            <w:r w:rsidRPr="001D6363">
              <w:rPr>
                <w:rFonts w:ascii="Arial" w:eastAsia="Times New Roman" w:hAnsi="Arial" w:cs="Arial"/>
                <w:color w:val="000000"/>
                <w:lang w:eastAsia="en-GB"/>
              </w:rPr>
              <w:t>IR35 and the level of compliance, focussing on agency staff.</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31"/>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Financial Management (Development and Schools)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Accounting for capital projects and the integrity of the council's financial statements.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Assessment of the way the cap</w:t>
            </w:r>
            <w:r>
              <w:rPr>
                <w:rFonts w:ascii="Arial" w:eastAsia="Times New Roman" w:hAnsi="Arial" w:cs="Arial"/>
                <w:color w:val="000000"/>
                <w:lang w:eastAsia="en-GB"/>
              </w:rPr>
              <w:t>it</w:t>
            </w:r>
            <w:r w:rsidRPr="001D6363">
              <w:rPr>
                <w:rFonts w:ascii="Arial" w:eastAsia="Times New Roman" w:hAnsi="Arial" w:cs="Arial"/>
                <w:color w:val="000000"/>
                <w:lang w:eastAsia="en-GB"/>
              </w:rPr>
              <w:t>al programme is accou</w:t>
            </w:r>
            <w:r>
              <w:rPr>
                <w:rFonts w:ascii="Arial" w:eastAsia="Times New Roman" w:hAnsi="Arial" w:cs="Arial"/>
                <w:color w:val="000000"/>
                <w:lang w:eastAsia="en-GB"/>
              </w:rPr>
              <w:t>n</w:t>
            </w:r>
            <w:r w:rsidRPr="001D6363">
              <w:rPr>
                <w:rFonts w:ascii="Arial" w:eastAsia="Times New Roman" w:hAnsi="Arial" w:cs="Arial"/>
                <w:color w:val="000000"/>
                <w:lang w:eastAsia="en-GB"/>
              </w:rPr>
              <w:t>ted for.</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295F65">
        <w:trPr>
          <w:trHeight w:val="351"/>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lastRenderedPageBreak/>
              <w:t>Investment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Treasury management and investments.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Understanding and testing the key controls over investment of the council's funds, particularly </w:t>
            </w:r>
            <w:r>
              <w:rPr>
                <w:rFonts w:ascii="Arial" w:eastAsia="Times New Roman" w:hAnsi="Arial" w:cs="Arial"/>
                <w:color w:val="000000"/>
                <w:lang w:eastAsia="en-GB"/>
              </w:rPr>
              <w:t>in equities and property.</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C32FD" w:rsidTr="00442CA6">
        <w:trPr>
          <w:trHeight w:val="552"/>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Investment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Treasury management and investments.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Follow-up of </w:t>
            </w:r>
            <w:r w:rsidRPr="001D6363">
              <w:rPr>
                <w:rFonts w:ascii="Arial" w:eastAsia="Times New Roman" w:hAnsi="Arial" w:cs="Arial"/>
                <w:color w:val="000000"/>
                <w:lang w:eastAsia="en-GB"/>
              </w:rPr>
              <w:t>actions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660"/>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Financial Management (Operations)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Manage</w:t>
            </w:r>
            <w:r>
              <w:rPr>
                <w:rFonts w:ascii="Arial" w:eastAsia="Times New Roman" w:hAnsi="Arial" w:cs="Arial"/>
                <w:color w:val="000000"/>
                <w:lang w:eastAsia="en-GB"/>
              </w:rPr>
              <w:t xml:space="preserve">ment information and budgetary </w:t>
            </w:r>
            <w:r w:rsidRPr="001D6363">
              <w:rPr>
                <w:rFonts w:ascii="Arial" w:eastAsia="Times New Roman" w:hAnsi="Arial" w:cs="Arial"/>
                <w:color w:val="000000"/>
                <w:lang w:eastAsia="en-GB"/>
              </w:rPr>
              <w:t>control.</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actions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205"/>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Corporate Finance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Oracle general ledger.</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actions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36"/>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Corporate Finance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Oversight of payroll payments processed by BTLS on behalf of the council.</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actions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82"/>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Exchequer Services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Accounts receivable and debt management: central controls.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actions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295F65">
        <w:trPr>
          <w:trHeight w:val="436"/>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Exchequer Services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Accounts payable: service-based controls specifically over receipting.</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Thematic compliance testing across a number of service areas to assess officers' understanding and use of the system, and ensure that goods/ services have been received as is recorded </w:t>
            </w:r>
            <w:r w:rsidRPr="001D6363">
              <w:rPr>
                <w:rFonts w:ascii="Arial" w:eastAsia="Times New Roman" w:hAnsi="Arial" w:cs="Arial"/>
                <w:color w:val="000000"/>
                <w:lang w:eastAsia="en-GB"/>
              </w:rPr>
              <w:t>on Oracle.</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442CA6">
        <w:trPr>
          <w:trHeight w:val="426"/>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Exchequer Services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Accounts payable: additional counter fraud analysis.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Data analysis to test for multiple orders to a single supplier for the same goods or services to address the risk that orders are split to avoid reaching the limit at </w:t>
            </w:r>
            <w:r w:rsidRPr="001D6363">
              <w:rPr>
                <w:rFonts w:ascii="Arial" w:eastAsia="Times New Roman" w:hAnsi="Arial" w:cs="Arial"/>
                <w:color w:val="000000"/>
                <w:lang w:eastAsia="en-GB"/>
              </w:rPr>
              <w:t>which additional approval is required.</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Exchequer Services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Accounts payable: central controls.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Exchequer Services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Cash and banking.</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lang w:eastAsia="en-GB"/>
              </w:rPr>
            </w:pPr>
            <w:r w:rsidRPr="001D6363">
              <w:rPr>
                <w:rFonts w:ascii="Arial" w:eastAsia="Times New Roman" w:hAnsi="Arial" w:cs="Arial"/>
                <w:lang w:eastAsia="en-GB"/>
              </w:rPr>
              <w:t>Compliance testing of the key controls.</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Exchequer Services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VAT</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lang w:eastAsia="en-GB"/>
              </w:rPr>
            </w:pPr>
            <w:r w:rsidRPr="001D6363">
              <w:rPr>
                <w:rFonts w:ascii="Arial" w:eastAsia="Times New Roman" w:hAnsi="Arial" w:cs="Arial"/>
                <w:lang w:eastAsia="en-GB"/>
              </w:rPr>
              <w:t xml:space="preserve">Compliance </w:t>
            </w:r>
            <w:r w:rsidRPr="001D6363">
              <w:rPr>
                <w:rFonts w:ascii="Arial" w:eastAsia="Times New Roman" w:hAnsi="Arial" w:cs="Arial"/>
                <w:lang w:eastAsia="en-GB"/>
              </w:rPr>
              <w:t>testing of the key controls.</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Exchequer Services</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VAT</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295F65">
        <w:trPr>
          <w:trHeight w:val="114"/>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Payroll Service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Payments on account and overpayments.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52"/>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Payroll Service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Effectiveness of inputs to the system: the </w:t>
            </w:r>
            <w:r w:rsidRPr="001D6363">
              <w:rPr>
                <w:rFonts w:ascii="Arial" w:eastAsia="Times New Roman" w:hAnsi="Arial" w:cs="Arial"/>
                <w:color w:val="000000"/>
                <w:lang w:eastAsia="en-GB"/>
              </w:rPr>
              <w:t>inputs required and how they are processed.</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Audit of the revised processes in place within the council to provide BTLS with appropriate inputs to the payroll system, focussing on changes.</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1</w:t>
            </w:r>
          </w:p>
        </w:tc>
      </w:tr>
      <w:tr w:rsidR="006C32FD" w:rsidTr="00442CA6">
        <w:trPr>
          <w:trHeight w:val="239"/>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lastRenderedPageBreak/>
              <w:t>Payroll Service</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Processing of payments by BTLS using information </w:t>
            </w:r>
            <w:r w:rsidRPr="001D6363">
              <w:rPr>
                <w:rFonts w:ascii="Arial" w:eastAsia="Times New Roman" w:hAnsi="Arial" w:cs="Arial"/>
                <w:color w:val="000000"/>
                <w:lang w:eastAsia="en-GB"/>
              </w:rPr>
              <w:t>supplied by the council.</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828"/>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Procurement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Central procurement: compliance with legislation, financial regulations and standing orders.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Procurement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E-tendering.</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Follow-up of </w:t>
            </w:r>
            <w:r w:rsidRPr="001D6363">
              <w:rPr>
                <w:rFonts w:ascii="Arial" w:eastAsia="Times New Roman" w:hAnsi="Arial" w:cs="Arial"/>
                <w:color w:val="000000"/>
                <w:lang w:eastAsia="en-GB"/>
              </w:rPr>
              <w:t>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7"/>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Procurement</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Purchase cards.</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291"/>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Pension Fund</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Audit of the council's accounting for the Pension Fund through its general ledger</w:t>
            </w:r>
            <w:r>
              <w:rPr>
                <w:rFonts w:ascii="Arial" w:eastAsia="Times New Roman" w:hAnsi="Arial" w:cs="Arial"/>
                <w:color w:val="000000"/>
                <w:lang w:eastAsia="en-GB"/>
              </w:rPr>
              <w:t>.</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Follow-up of action agreed in 2017/18.</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C32FD" w:rsidTr="00442CA6">
        <w:trPr>
          <w:trHeight w:val="552"/>
        </w:trPr>
        <w:tc>
          <w:tcPr>
            <w:tcW w:w="2268" w:type="dxa"/>
            <w:shd w:val="clear" w:color="auto" w:fill="auto"/>
            <w:hideMark/>
          </w:tcPr>
          <w:p w:rsidR="001D6363" w:rsidRPr="001D6363" w:rsidRDefault="00A4433C" w:rsidP="00295F65">
            <w:pPr>
              <w:spacing w:before="40" w:after="40" w:line="240" w:lineRule="auto"/>
              <w:rPr>
                <w:rFonts w:ascii="Arial" w:eastAsia="Times New Roman" w:hAnsi="Arial" w:cs="Arial"/>
                <w:lang w:eastAsia="en-GB"/>
              </w:rPr>
            </w:pPr>
            <w:r w:rsidRPr="001D6363">
              <w:rPr>
                <w:rFonts w:ascii="Arial" w:eastAsia="Times New Roman" w:hAnsi="Arial" w:cs="Arial"/>
                <w:lang w:eastAsia="en-GB"/>
              </w:rPr>
              <w:t>Pension Fund</w:t>
            </w:r>
          </w:p>
        </w:tc>
        <w:tc>
          <w:tcPr>
            <w:tcW w:w="3828"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Core financial systems: cash flow management. </w:t>
            </w:r>
          </w:p>
        </w:tc>
        <w:tc>
          <w:tcPr>
            <w:tcW w:w="7087"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Audit of arrangements to ensure the Fund is able to meet payments as they are due.</w:t>
            </w:r>
          </w:p>
        </w:tc>
        <w:tc>
          <w:tcPr>
            <w:tcW w:w="851" w:type="dxa"/>
            <w:shd w:val="clear" w:color="auto" w:fill="auto"/>
            <w:hideMark/>
          </w:tcPr>
          <w:p w:rsidR="001D6363" w:rsidRPr="001D6363" w:rsidRDefault="00A4433C" w:rsidP="00295F65">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bl>
    <w:p w:rsidR="00017873" w:rsidRPr="001D6363" w:rsidRDefault="00A4433C">
      <w:pPr>
        <w:rPr>
          <w:rFonts w:ascii="Arial" w:hAnsi="Arial" w:cs="Arial"/>
          <w:sz w:val="24"/>
          <w:szCs w:val="24"/>
        </w:rPr>
      </w:pPr>
    </w:p>
    <w:sectPr w:rsidR="00017873" w:rsidRPr="001D6363" w:rsidSect="007E69B1">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433C">
      <w:pPr>
        <w:spacing w:after="0" w:line="240" w:lineRule="auto"/>
      </w:pPr>
      <w:r>
        <w:separator/>
      </w:r>
    </w:p>
  </w:endnote>
  <w:endnote w:type="continuationSeparator" w:id="0">
    <w:p w:rsidR="00000000" w:rsidRDefault="00A4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AE" w:rsidRDefault="00A4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B1" w:rsidRPr="007E69B1" w:rsidRDefault="00A4433C" w:rsidP="007E69B1">
    <w:pPr>
      <w:pStyle w:val="Footer"/>
      <w:jc w:val="right"/>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EC" w:rsidRPr="004801D0" w:rsidRDefault="00A4433C" w:rsidP="00017873">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433C">
      <w:pPr>
        <w:spacing w:after="0" w:line="240" w:lineRule="auto"/>
      </w:pPr>
      <w:r>
        <w:separator/>
      </w:r>
    </w:p>
  </w:footnote>
  <w:footnote w:type="continuationSeparator" w:id="0">
    <w:p w:rsidR="00000000" w:rsidRDefault="00A4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AE" w:rsidRDefault="00A44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EC" w:rsidRPr="00E10D46" w:rsidRDefault="00A4433C" w:rsidP="00017873">
    <w:pPr>
      <w:tabs>
        <w:tab w:val="right" w:pos="13892"/>
      </w:tabs>
      <w:rPr>
        <w:rFonts w:ascii="Arial" w:hAnsi="Arial" w:cs="Arial"/>
        <w:b/>
        <w:sz w:val="20"/>
        <w:szCs w:val="20"/>
      </w:rPr>
    </w:pPr>
    <w:r>
      <w:rPr>
        <w:rFonts w:ascii="Arial" w:hAnsi="Arial" w:cs="Arial"/>
        <w:b/>
        <w:sz w:val="20"/>
        <w:szCs w:val="20"/>
      </w:rPr>
      <w:t>I</w:t>
    </w:r>
    <w:r w:rsidRPr="00E10D46">
      <w:rPr>
        <w:rFonts w:ascii="Arial" w:hAnsi="Arial" w:cs="Arial"/>
        <w:b/>
        <w:sz w:val="20"/>
        <w:szCs w:val="20"/>
      </w:rPr>
      <w:t>nternal audit plan</w:t>
    </w:r>
    <w:r>
      <w:rPr>
        <w:rFonts w:ascii="Arial" w:hAnsi="Arial" w:cs="Arial"/>
        <w:b/>
        <w:sz w:val="20"/>
        <w:szCs w:val="20"/>
      </w:rPr>
      <w:t xml:space="preserve"> </w:t>
    </w:r>
    <w:r w:rsidRPr="00E10D46">
      <w:rPr>
        <w:rFonts w:ascii="Arial" w:hAnsi="Arial" w:cs="Arial"/>
        <w:b/>
        <w:sz w:val="20"/>
        <w:szCs w:val="20"/>
      </w:rPr>
      <w:t>20</w:t>
    </w:r>
    <w:r>
      <w:rPr>
        <w:rFonts w:ascii="Arial" w:hAnsi="Arial" w:cs="Arial"/>
        <w:b/>
        <w:sz w:val="20"/>
        <w:szCs w:val="20"/>
      </w:rPr>
      <w:t>18/19</w:t>
    </w:r>
    <w:r>
      <w:rPr>
        <w:rFonts w:ascii="Arial" w:hAnsi="Arial" w:cs="Arial"/>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EC" w:rsidRPr="006F427A" w:rsidRDefault="00A4433C" w:rsidP="00017873">
    <w:pPr>
      <w:pStyle w:val="Header"/>
      <w:tabs>
        <w:tab w:val="clear" w:pos="4513"/>
        <w:tab w:val="clear" w:pos="9026"/>
        <w:tab w:val="right" w:pos="13892"/>
      </w:tabs>
      <w:rPr>
        <w:rFonts w:ascii="Arial" w:hAnsi="Arial" w:cs="Arial"/>
        <w:b/>
        <w:sz w:val="26"/>
        <w:szCs w:val="26"/>
      </w:rPr>
    </w:pPr>
    <w:r w:rsidRPr="006F427A">
      <w:rPr>
        <w:rFonts w:ascii="Arial" w:hAnsi="Arial" w:cs="Arial"/>
        <w:b/>
        <w:sz w:val="26"/>
        <w:szCs w:val="26"/>
      </w:rPr>
      <w:t>Internal audit plan 201</w:t>
    </w:r>
    <w:r>
      <w:rPr>
        <w:rFonts w:ascii="Arial" w:hAnsi="Arial" w:cs="Arial"/>
        <w:b/>
        <w:sz w:val="26"/>
        <w:szCs w:val="26"/>
      </w:rPr>
      <w:t>8/19</w:t>
    </w:r>
    <w:r w:rsidRPr="006F427A">
      <w:rPr>
        <w:rFonts w:ascii="Arial" w:hAnsi="Arial" w:cs="Arial"/>
        <w:b/>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C8B2B61"/>
    <w:multiLevelType w:val="hybridMultilevel"/>
    <w:tmpl w:val="3B84BAAA"/>
    <w:lvl w:ilvl="0" w:tplc="3B9E6592">
      <w:start w:val="1"/>
      <w:numFmt w:val="bullet"/>
      <w:lvlText w:val=""/>
      <w:lvlJc w:val="left"/>
      <w:pPr>
        <w:ind w:left="1440" w:hanging="360"/>
      </w:pPr>
      <w:rPr>
        <w:rFonts w:ascii="Symbol" w:hAnsi="Symbol" w:hint="default"/>
      </w:rPr>
    </w:lvl>
    <w:lvl w:ilvl="1" w:tplc="04024282">
      <w:start w:val="1"/>
      <w:numFmt w:val="bullet"/>
      <w:lvlText w:val="o"/>
      <w:lvlJc w:val="left"/>
      <w:pPr>
        <w:ind w:left="2160" w:hanging="360"/>
      </w:pPr>
      <w:rPr>
        <w:rFonts w:ascii="Courier New" w:hAnsi="Courier New" w:cs="Courier New" w:hint="default"/>
      </w:rPr>
    </w:lvl>
    <w:lvl w:ilvl="2" w:tplc="D9FC3F8C" w:tentative="1">
      <w:start w:val="1"/>
      <w:numFmt w:val="bullet"/>
      <w:lvlText w:val=""/>
      <w:lvlJc w:val="left"/>
      <w:pPr>
        <w:ind w:left="2880" w:hanging="360"/>
      </w:pPr>
      <w:rPr>
        <w:rFonts w:ascii="Wingdings" w:hAnsi="Wingdings" w:hint="default"/>
      </w:rPr>
    </w:lvl>
    <w:lvl w:ilvl="3" w:tplc="2898C1F8" w:tentative="1">
      <w:start w:val="1"/>
      <w:numFmt w:val="bullet"/>
      <w:lvlText w:val=""/>
      <w:lvlJc w:val="left"/>
      <w:pPr>
        <w:ind w:left="3600" w:hanging="360"/>
      </w:pPr>
      <w:rPr>
        <w:rFonts w:ascii="Symbol" w:hAnsi="Symbol" w:hint="default"/>
      </w:rPr>
    </w:lvl>
    <w:lvl w:ilvl="4" w:tplc="E83269E6" w:tentative="1">
      <w:start w:val="1"/>
      <w:numFmt w:val="bullet"/>
      <w:lvlText w:val="o"/>
      <w:lvlJc w:val="left"/>
      <w:pPr>
        <w:ind w:left="4320" w:hanging="360"/>
      </w:pPr>
      <w:rPr>
        <w:rFonts w:ascii="Courier New" w:hAnsi="Courier New" w:cs="Courier New" w:hint="default"/>
      </w:rPr>
    </w:lvl>
    <w:lvl w:ilvl="5" w:tplc="2C02ABBE" w:tentative="1">
      <w:start w:val="1"/>
      <w:numFmt w:val="bullet"/>
      <w:lvlText w:val=""/>
      <w:lvlJc w:val="left"/>
      <w:pPr>
        <w:ind w:left="5040" w:hanging="360"/>
      </w:pPr>
      <w:rPr>
        <w:rFonts w:ascii="Wingdings" w:hAnsi="Wingdings" w:hint="default"/>
      </w:rPr>
    </w:lvl>
    <w:lvl w:ilvl="6" w:tplc="3910A428" w:tentative="1">
      <w:start w:val="1"/>
      <w:numFmt w:val="bullet"/>
      <w:lvlText w:val=""/>
      <w:lvlJc w:val="left"/>
      <w:pPr>
        <w:ind w:left="5760" w:hanging="360"/>
      </w:pPr>
      <w:rPr>
        <w:rFonts w:ascii="Symbol" w:hAnsi="Symbol" w:hint="default"/>
      </w:rPr>
    </w:lvl>
    <w:lvl w:ilvl="7" w:tplc="1A70A3FE" w:tentative="1">
      <w:start w:val="1"/>
      <w:numFmt w:val="bullet"/>
      <w:lvlText w:val="o"/>
      <w:lvlJc w:val="left"/>
      <w:pPr>
        <w:ind w:left="6480" w:hanging="360"/>
      </w:pPr>
      <w:rPr>
        <w:rFonts w:ascii="Courier New" w:hAnsi="Courier New" w:cs="Courier New" w:hint="default"/>
      </w:rPr>
    </w:lvl>
    <w:lvl w:ilvl="8" w:tplc="CEFEA0F8" w:tentative="1">
      <w:start w:val="1"/>
      <w:numFmt w:val="bullet"/>
      <w:lvlText w:val=""/>
      <w:lvlJc w:val="left"/>
      <w:pPr>
        <w:ind w:left="7200" w:hanging="360"/>
      </w:pPr>
      <w:rPr>
        <w:rFonts w:ascii="Wingdings" w:hAnsi="Wingdings" w:hint="default"/>
      </w:rPr>
    </w:lvl>
  </w:abstractNum>
  <w:abstractNum w:abstractNumId="3" w15:restartNumberingAfterBreak="0">
    <w:nsid w:val="1E5317D0"/>
    <w:multiLevelType w:val="hybridMultilevel"/>
    <w:tmpl w:val="83385C7E"/>
    <w:lvl w:ilvl="0" w:tplc="72A213EE">
      <w:start w:val="1"/>
      <w:numFmt w:val="bullet"/>
      <w:lvlText w:val=""/>
      <w:lvlJc w:val="left"/>
      <w:pPr>
        <w:ind w:left="720" w:hanging="360"/>
      </w:pPr>
      <w:rPr>
        <w:rFonts w:ascii="Symbol" w:hAnsi="Symbol" w:hint="default"/>
      </w:rPr>
    </w:lvl>
    <w:lvl w:ilvl="1" w:tplc="0CC2D49C" w:tentative="1">
      <w:start w:val="1"/>
      <w:numFmt w:val="bullet"/>
      <w:lvlText w:val="o"/>
      <w:lvlJc w:val="left"/>
      <w:pPr>
        <w:ind w:left="1440" w:hanging="360"/>
      </w:pPr>
      <w:rPr>
        <w:rFonts w:ascii="Courier New" w:hAnsi="Courier New" w:cs="Courier New" w:hint="default"/>
      </w:rPr>
    </w:lvl>
    <w:lvl w:ilvl="2" w:tplc="18BADFB6" w:tentative="1">
      <w:start w:val="1"/>
      <w:numFmt w:val="bullet"/>
      <w:lvlText w:val=""/>
      <w:lvlJc w:val="left"/>
      <w:pPr>
        <w:ind w:left="2160" w:hanging="360"/>
      </w:pPr>
      <w:rPr>
        <w:rFonts w:ascii="Wingdings" w:hAnsi="Wingdings" w:hint="default"/>
      </w:rPr>
    </w:lvl>
    <w:lvl w:ilvl="3" w:tplc="027002A6" w:tentative="1">
      <w:start w:val="1"/>
      <w:numFmt w:val="bullet"/>
      <w:lvlText w:val=""/>
      <w:lvlJc w:val="left"/>
      <w:pPr>
        <w:ind w:left="2880" w:hanging="360"/>
      </w:pPr>
      <w:rPr>
        <w:rFonts w:ascii="Symbol" w:hAnsi="Symbol" w:hint="default"/>
      </w:rPr>
    </w:lvl>
    <w:lvl w:ilvl="4" w:tplc="143E003E" w:tentative="1">
      <w:start w:val="1"/>
      <w:numFmt w:val="bullet"/>
      <w:lvlText w:val="o"/>
      <w:lvlJc w:val="left"/>
      <w:pPr>
        <w:ind w:left="3600" w:hanging="360"/>
      </w:pPr>
      <w:rPr>
        <w:rFonts w:ascii="Courier New" w:hAnsi="Courier New" w:cs="Courier New" w:hint="default"/>
      </w:rPr>
    </w:lvl>
    <w:lvl w:ilvl="5" w:tplc="9D567836" w:tentative="1">
      <w:start w:val="1"/>
      <w:numFmt w:val="bullet"/>
      <w:lvlText w:val=""/>
      <w:lvlJc w:val="left"/>
      <w:pPr>
        <w:ind w:left="4320" w:hanging="360"/>
      </w:pPr>
      <w:rPr>
        <w:rFonts w:ascii="Wingdings" w:hAnsi="Wingdings" w:hint="default"/>
      </w:rPr>
    </w:lvl>
    <w:lvl w:ilvl="6" w:tplc="37D40A92" w:tentative="1">
      <w:start w:val="1"/>
      <w:numFmt w:val="bullet"/>
      <w:lvlText w:val=""/>
      <w:lvlJc w:val="left"/>
      <w:pPr>
        <w:ind w:left="5040" w:hanging="360"/>
      </w:pPr>
      <w:rPr>
        <w:rFonts w:ascii="Symbol" w:hAnsi="Symbol" w:hint="default"/>
      </w:rPr>
    </w:lvl>
    <w:lvl w:ilvl="7" w:tplc="EE3867C0" w:tentative="1">
      <w:start w:val="1"/>
      <w:numFmt w:val="bullet"/>
      <w:lvlText w:val="o"/>
      <w:lvlJc w:val="left"/>
      <w:pPr>
        <w:ind w:left="5760" w:hanging="360"/>
      </w:pPr>
      <w:rPr>
        <w:rFonts w:ascii="Courier New" w:hAnsi="Courier New" w:cs="Courier New" w:hint="default"/>
      </w:rPr>
    </w:lvl>
    <w:lvl w:ilvl="8" w:tplc="9F5C3342"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B66DD"/>
    <w:multiLevelType w:val="hybridMultilevel"/>
    <w:tmpl w:val="E5B62EDC"/>
    <w:lvl w:ilvl="0" w:tplc="492A2AB6">
      <w:start w:val="1"/>
      <w:numFmt w:val="bullet"/>
      <w:lvlText w:val=""/>
      <w:lvlJc w:val="left"/>
      <w:pPr>
        <w:ind w:left="1080" w:hanging="360"/>
      </w:pPr>
      <w:rPr>
        <w:rFonts w:ascii="Symbol" w:hAnsi="Symbol" w:hint="default"/>
      </w:rPr>
    </w:lvl>
    <w:lvl w:ilvl="1" w:tplc="F5E86900" w:tentative="1">
      <w:start w:val="1"/>
      <w:numFmt w:val="bullet"/>
      <w:lvlText w:val="o"/>
      <w:lvlJc w:val="left"/>
      <w:pPr>
        <w:ind w:left="1800" w:hanging="360"/>
      </w:pPr>
      <w:rPr>
        <w:rFonts w:ascii="Courier New" w:hAnsi="Courier New" w:cs="Courier New" w:hint="default"/>
      </w:rPr>
    </w:lvl>
    <w:lvl w:ilvl="2" w:tplc="81A2B488" w:tentative="1">
      <w:start w:val="1"/>
      <w:numFmt w:val="bullet"/>
      <w:lvlText w:val=""/>
      <w:lvlJc w:val="left"/>
      <w:pPr>
        <w:ind w:left="2520" w:hanging="360"/>
      </w:pPr>
      <w:rPr>
        <w:rFonts w:ascii="Wingdings" w:hAnsi="Wingdings" w:hint="default"/>
      </w:rPr>
    </w:lvl>
    <w:lvl w:ilvl="3" w:tplc="45A4F7DC" w:tentative="1">
      <w:start w:val="1"/>
      <w:numFmt w:val="bullet"/>
      <w:lvlText w:val=""/>
      <w:lvlJc w:val="left"/>
      <w:pPr>
        <w:ind w:left="3240" w:hanging="360"/>
      </w:pPr>
      <w:rPr>
        <w:rFonts w:ascii="Symbol" w:hAnsi="Symbol" w:hint="default"/>
      </w:rPr>
    </w:lvl>
    <w:lvl w:ilvl="4" w:tplc="6E427B56" w:tentative="1">
      <w:start w:val="1"/>
      <w:numFmt w:val="bullet"/>
      <w:lvlText w:val="o"/>
      <w:lvlJc w:val="left"/>
      <w:pPr>
        <w:ind w:left="3960" w:hanging="360"/>
      </w:pPr>
      <w:rPr>
        <w:rFonts w:ascii="Courier New" w:hAnsi="Courier New" w:cs="Courier New" w:hint="default"/>
      </w:rPr>
    </w:lvl>
    <w:lvl w:ilvl="5" w:tplc="F48AF5D8" w:tentative="1">
      <w:start w:val="1"/>
      <w:numFmt w:val="bullet"/>
      <w:lvlText w:val=""/>
      <w:lvlJc w:val="left"/>
      <w:pPr>
        <w:ind w:left="4680" w:hanging="360"/>
      </w:pPr>
      <w:rPr>
        <w:rFonts w:ascii="Wingdings" w:hAnsi="Wingdings" w:hint="default"/>
      </w:rPr>
    </w:lvl>
    <w:lvl w:ilvl="6" w:tplc="20EEA7FC" w:tentative="1">
      <w:start w:val="1"/>
      <w:numFmt w:val="bullet"/>
      <w:lvlText w:val=""/>
      <w:lvlJc w:val="left"/>
      <w:pPr>
        <w:ind w:left="5400" w:hanging="360"/>
      </w:pPr>
      <w:rPr>
        <w:rFonts w:ascii="Symbol" w:hAnsi="Symbol" w:hint="default"/>
      </w:rPr>
    </w:lvl>
    <w:lvl w:ilvl="7" w:tplc="D82E1F4C" w:tentative="1">
      <w:start w:val="1"/>
      <w:numFmt w:val="bullet"/>
      <w:lvlText w:val="o"/>
      <w:lvlJc w:val="left"/>
      <w:pPr>
        <w:ind w:left="6120" w:hanging="360"/>
      </w:pPr>
      <w:rPr>
        <w:rFonts w:ascii="Courier New" w:hAnsi="Courier New" w:cs="Courier New" w:hint="default"/>
      </w:rPr>
    </w:lvl>
    <w:lvl w:ilvl="8" w:tplc="E92CBEA6" w:tentative="1">
      <w:start w:val="1"/>
      <w:numFmt w:val="bullet"/>
      <w:lvlText w:val=""/>
      <w:lvlJc w:val="left"/>
      <w:pPr>
        <w:ind w:left="6840" w:hanging="360"/>
      </w:pPr>
      <w:rPr>
        <w:rFonts w:ascii="Wingdings" w:hAnsi="Wingdings" w:hint="default"/>
      </w:rPr>
    </w:lvl>
  </w:abstractNum>
  <w:abstractNum w:abstractNumId="6" w15:restartNumberingAfterBreak="0">
    <w:nsid w:val="511674C1"/>
    <w:multiLevelType w:val="multilevel"/>
    <w:tmpl w:val="976CB93E"/>
    <w:numStyleLink w:val="Ruthstandard"/>
  </w:abstractNum>
  <w:abstractNum w:abstractNumId="7"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181484"/>
    <w:multiLevelType w:val="hybridMultilevel"/>
    <w:tmpl w:val="7E806872"/>
    <w:lvl w:ilvl="0" w:tplc="4030F228">
      <w:start w:val="1"/>
      <w:numFmt w:val="bullet"/>
      <w:lvlText w:val=""/>
      <w:lvlJc w:val="left"/>
      <w:pPr>
        <w:ind w:left="1077" w:hanging="360"/>
      </w:pPr>
      <w:rPr>
        <w:rFonts w:ascii="Symbol" w:hAnsi="Symbol" w:hint="default"/>
      </w:rPr>
    </w:lvl>
    <w:lvl w:ilvl="1" w:tplc="9CF03C46" w:tentative="1">
      <w:start w:val="1"/>
      <w:numFmt w:val="bullet"/>
      <w:lvlText w:val="o"/>
      <w:lvlJc w:val="left"/>
      <w:pPr>
        <w:ind w:left="1797" w:hanging="360"/>
      </w:pPr>
      <w:rPr>
        <w:rFonts w:ascii="Courier New" w:hAnsi="Courier New" w:cs="Courier New" w:hint="default"/>
      </w:rPr>
    </w:lvl>
    <w:lvl w:ilvl="2" w:tplc="9A088D54" w:tentative="1">
      <w:start w:val="1"/>
      <w:numFmt w:val="bullet"/>
      <w:lvlText w:val=""/>
      <w:lvlJc w:val="left"/>
      <w:pPr>
        <w:ind w:left="2517" w:hanging="360"/>
      </w:pPr>
      <w:rPr>
        <w:rFonts w:ascii="Wingdings" w:hAnsi="Wingdings" w:hint="default"/>
      </w:rPr>
    </w:lvl>
    <w:lvl w:ilvl="3" w:tplc="7AF8DF3A" w:tentative="1">
      <w:start w:val="1"/>
      <w:numFmt w:val="bullet"/>
      <w:lvlText w:val=""/>
      <w:lvlJc w:val="left"/>
      <w:pPr>
        <w:ind w:left="3237" w:hanging="360"/>
      </w:pPr>
      <w:rPr>
        <w:rFonts w:ascii="Symbol" w:hAnsi="Symbol" w:hint="default"/>
      </w:rPr>
    </w:lvl>
    <w:lvl w:ilvl="4" w:tplc="7430F4B6" w:tentative="1">
      <w:start w:val="1"/>
      <w:numFmt w:val="bullet"/>
      <w:lvlText w:val="o"/>
      <w:lvlJc w:val="left"/>
      <w:pPr>
        <w:ind w:left="3957" w:hanging="360"/>
      </w:pPr>
      <w:rPr>
        <w:rFonts w:ascii="Courier New" w:hAnsi="Courier New" w:cs="Courier New" w:hint="default"/>
      </w:rPr>
    </w:lvl>
    <w:lvl w:ilvl="5" w:tplc="B4FCA404" w:tentative="1">
      <w:start w:val="1"/>
      <w:numFmt w:val="bullet"/>
      <w:lvlText w:val=""/>
      <w:lvlJc w:val="left"/>
      <w:pPr>
        <w:ind w:left="4677" w:hanging="360"/>
      </w:pPr>
      <w:rPr>
        <w:rFonts w:ascii="Wingdings" w:hAnsi="Wingdings" w:hint="default"/>
      </w:rPr>
    </w:lvl>
    <w:lvl w:ilvl="6" w:tplc="C3A63352" w:tentative="1">
      <w:start w:val="1"/>
      <w:numFmt w:val="bullet"/>
      <w:lvlText w:val=""/>
      <w:lvlJc w:val="left"/>
      <w:pPr>
        <w:ind w:left="5397" w:hanging="360"/>
      </w:pPr>
      <w:rPr>
        <w:rFonts w:ascii="Symbol" w:hAnsi="Symbol" w:hint="default"/>
      </w:rPr>
    </w:lvl>
    <w:lvl w:ilvl="7" w:tplc="2752BA52" w:tentative="1">
      <w:start w:val="1"/>
      <w:numFmt w:val="bullet"/>
      <w:lvlText w:val="o"/>
      <w:lvlJc w:val="left"/>
      <w:pPr>
        <w:ind w:left="6117" w:hanging="360"/>
      </w:pPr>
      <w:rPr>
        <w:rFonts w:ascii="Courier New" w:hAnsi="Courier New" w:cs="Courier New" w:hint="default"/>
      </w:rPr>
    </w:lvl>
    <w:lvl w:ilvl="8" w:tplc="8794C524" w:tentative="1">
      <w:start w:val="1"/>
      <w:numFmt w:val="bullet"/>
      <w:lvlText w:val=""/>
      <w:lvlJc w:val="left"/>
      <w:pPr>
        <w:ind w:left="6837" w:hanging="360"/>
      </w:pPr>
      <w:rPr>
        <w:rFonts w:ascii="Wingdings" w:hAnsi="Wingdings" w:hint="default"/>
      </w:rPr>
    </w:lvl>
  </w:abstractNum>
  <w:abstractNum w:abstractNumId="9"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A906D6"/>
    <w:multiLevelType w:val="hybridMultilevel"/>
    <w:tmpl w:val="C4104C8C"/>
    <w:lvl w:ilvl="0" w:tplc="AF40C698">
      <w:start w:val="1"/>
      <w:numFmt w:val="bullet"/>
      <w:lvlText w:val=""/>
      <w:lvlJc w:val="left"/>
      <w:pPr>
        <w:ind w:left="720" w:hanging="360"/>
      </w:pPr>
      <w:rPr>
        <w:rFonts w:ascii="Symbol" w:hAnsi="Symbol" w:hint="default"/>
      </w:rPr>
    </w:lvl>
    <w:lvl w:ilvl="1" w:tplc="6FB85812" w:tentative="1">
      <w:start w:val="1"/>
      <w:numFmt w:val="bullet"/>
      <w:lvlText w:val="o"/>
      <w:lvlJc w:val="left"/>
      <w:pPr>
        <w:ind w:left="1440" w:hanging="360"/>
      </w:pPr>
      <w:rPr>
        <w:rFonts w:ascii="Courier New" w:hAnsi="Courier New" w:cs="Courier New" w:hint="default"/>
      </w:rPr>
    </w:lvl>
    <w:lvl w:ilvl="2" w:tplc="15C8DBD4" w:tentative="1">
      <w:start w:val="1"/>
      <w:numFmt w:val="bullet"/>
      <w:lvlText w:val=""/>
      <w:lvlJc w:val="left"/>
      <w:pPr>
        <w:ind w:left="2160" w:hanging="360"/>
      </w:pPr>
      <w:rPr>
        <w:rFonts w:ascii="Wingdings" w:hAnsi="Wingdings" w:hint="default"/>
      </w:rPr>
    </w:lvl>
    <w:lvl w:ilvl="3" w:tplc="1012ED50" w:tentative="1">
      <w:start w:val="1"/>
      <w:numFmt w:val="bullet"/>
      <w:lvlText w:val=""/>
      <w:lvlJc w:val="left"/>
      <w:pPr>
        <w:ind w:left="2880" w:hanging="360"/>
      </w:pPr>
      <w:rPr>
        <w:rFonts w:ascii="Symbol" w:hAnsi="Symbol" w:hint="default"/>
      </w:rPr>
    </w:lvl>
    <w:lvl w:ilvl="4" w:tplc="DCF07502" w:tentative="1">
      <w:start w:val="1"/>
      <w:numFmt w:val="bullet"/>
      <w:lvlText w:val="o"/>
      <w:lvlJc w:val="left"/>
      <w:pPr>
        <w:ind w:left="3600" w:hanging="360"/>
      </w:pPr>
      <w:rPr>
        <w:rFonts w:ascii="Courier New" w:hAnsi="Courier New" w:cs="Courier New" w:hint="default"/>
      </w:rPr>
    </w:lvl>
    <w:lvl w:ilvl="5" w:tplc="642C82CE" w:tentative="1">
      <w:start w:val="1"/>
      <w:numFmt w:val="bullet"/>
      <w:lvlText w:val=""/>
      <w:lvlJc w:val="left"/>
      <w:pPr>
        <w:ind w:left="4320" w:hanging="360"/>
      </w:pPr>
      <w:rPr>
        <w:rFonts w:ascii="Wingdings" w:hAnsi="Wingdings" w:hint="default"/>
      </w:rPr>
    </w:lvl>
    <w:lvl w:ilvl="6" w:tplc="98CC606E" w:tentative="1">
      <w:start w:val="1"/>
      <w:numFmt w:val="bullet"/>
      <w:lvlText w:val=""/>
      <w:lvlJc w:val="left"/>
      <w:pPr>
        <w:ind w:left="5040" w:hanging="360"/>
      </w:pPr>
      <w:rPr>
        <w:rFonts w:ascii="Symbol" w:hAnsi="Symbol" w:hint="default"/>
      </w:rPr>
    </w:lvl>
    <w:lvl w:ilvl="7" w:tplc="E968CA3A" w:tentative="1">
      <w:start w:val="1"/>
      <w:numFmt w:val="bullet"/>
      <w:lvlText w:val="o"/>
      <w:lvlJc w:val="left"/>
      <w:pPr>
        <w:ind w:left="5760" w:hanging="360"/>
      </w:pPr>
      <w:rPr>
        <w:rFonts w:ascii="Courier New" w:hAnsi="Courier New" w:cs="Courier New" w:hint="default"/>
      </w:rPr>
    </w:lvl>
    <w:lvl w:ilvl="8" w:tplc="93FEFFAC" w:tentative="1">
      <w:start w:val="1"/>
      <w:numFmt w:val="bullet"/>
      <w:lvlText w:val=""/>
      <w:lvlJc w:val="left"/>
      <w:pPr>
        <w:ind w:left="6480" w:hanging="360"/>
      </w:pPr>
      <w:rPr>
        <w:rFonts w:ascii="Wingdings" w:hAnsi="Wingdings" w:hint="default"/>
      </w:rPr>
    </w:lvl>
  </w:abstractNum>
  <w:abstractNum w:abstractNumId="11" w15:restartNumberingAfterBreak="0">
    <w:nsid w:val="707B015E"/>
    <w:multiLevelType w:val="hybridMultilevel"/>
    <w:tmpl w:val="25348240"/>
    <w:lvl w:ilvl="0" w:tplc="807C80CE">
      <w:start w:val="1"/>
      <w:numFmt w:val="bullet"/>
      <w:pStyle w:val="Ruthsbullets"/>
      <w:lvlText w:val=""/>
      <w:lvlJc w:val="left"/>
      <w:pPr>
        <w:ind w:left="720" w:hanging="360"/>
      </w:pPr>
      <w:rPr>
        <w:rFonts w:ascii="Symbol" w:hAnsi="Symbol" w:hint="default"/>
      </w:rPr>
    </w:lvl>
    <w:lvl w:ilvl="1" w:tplc="C750BEE4">
      <w:start w:val="1"/>
      <w:numFmt w:val="bullet"/>
      <w:lvlText w:val="˗"/>
      <w:lvlJc w:val="left"/>
      <w:pPr>
        <w:ind w:left="1440" w:hanging="360"/>
      </w:pPr>
      <w:rPr>
        <w:rFonts w:ascii="Arial" w:hAnsi="Arial" w:hint="default"/>
      </w:rPr>
    </w:lvl>
    <w:lvl w:ilvl="2" w:tplc="B88C619C" w:tentative="1">
      <w:start w:val="1"/>
      <w:numFmt w:val="bullet"/>
      <w:lvlText w:val=""/>
      <w:lvlJc w:val="left"/>
      <w:pPr>
        <w:ind w:left="2160" w:hanging="360"/>
      </w:pPr>
      <w:rPr>
        <w:rFonts w:ascii="Wingdings" w:hAnsi="Wingdings" w:hint="default"/>
      </w:rPr>
    </w:lvl>
    <w:lvl w:ilvl="3" w:tplc="22104150" w:tentative="1">
      <w:start w:val="1"/>
      <w:numFmt w:val="bullet"/>
      <w:lvlText w:val=""/>
      <w:lvlJc w:val="left"/>
      <w:pPr>
        <w:ind w:left="2880" w:hanging="360"/>
      </w:pPr>
      <w:rPr>
        <w:rFonts w:ascii="Symbol" w:hAnsi="Symbol" w:hint="default"/>
      </w:rPr>
    </w:lvl>
    <w:lvl w:ilvl="4" w:tplc="EA72A8DE" w:tentative="1">
      <w:start w:val="1"/>
      <w:numFmt w:val="bullet"/>
      <w:lvlText w:val="o"/>
      <w:lvlJc w:val="left"/>
      <w:pPr>
        <w:ind w:left="3600" w:hanging="360"/>
      </w:pPr>
      <w:rPr>
        <w:rFonts w:ascii="Courier New" w:hAnsi="Courier New" w:cs="Courier New" w:hint="default"/>
      </w:rPr>
    </w:lvl>
    <w:lvl w:ilvl="5" w:tplc="B744246E" w:tentative="1">
      <w:start w:val="1"/>
      <w:numFmt w:val="bullet"/>
      <w:lvlText w:val=""/>
      <w:lvlJc w:val="left"/>
      <w:pPr>
        <w:ind w:left="4320" w:hanging="360"/>
      </w:pPr>
      <w:rPr>
        <w:rFonts w:ascii="Wingdings" w:hAnsi="Wingdings" w:hint="default"/>
      </w:rPr>
    </w:lvl>
    <w:lvl w:ilvl="6" w:tplc="10C0E088" w:tentative="1">
      <w:start w:val="1"/>
      <w:numFmt w:val="bullet"/>
      <w:lvlText w:val=""/>
      <w:lvlJc w:val="left"/>
      <w:pPr>
        <w:ind w:left="5040" w:hanging="360"/>
      </w:pPr>
      <w:rPr>
        <w:rFonts w:ascii="Symbol" w:hAnsi="Symbol" w:hint="default"/>
      </w:rPr>
    </w:lvl>
    <w:lvl w:ilvl="7" w:tplc="618EFF28" w:tentative="1">
      <w:start w:val="1"/>
      <w:numFmt w:val="bullet"/>
      <w:lvlText w:val="o"/>
      <w:lvlJc w:val="left"/>
      <w:pPr>
        <w:ind w:left="5760" w:hanging="360"/>
      </w:pPr>
      <w:rPr>
        <w:rFonts w:ascii="Courier New" w:hAnsi="Courier New" w:cs="Courier New" w:hint="default"/>
      </w:rPr>
    </w:lvl>
    <w:lvl w:ilvl="8" w:tplc="6A581CF8" w:tentative="1">
      <w:start w:val="1"/>
      <w:numFmt w:val="bullet"/>
      <w:lvlText w:val=""/>
      <w:lvlJc w:val="left"/>
      <w:pPr>
        <w:ind w:left="6480" w:hanging="360"/>
      </w:pPr>
      <w:rPr>
        <w:rFonts w:ascii="Wingdings" w:hAnsi="Wingdings" w:hint="default"/>
      </w:rPr>
    </w:lvl>
  </w:abstractNum>
  <w:abstractNum w:abstractNumId="12"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3747F9"/>
    <w:multiLevelType w:val="hybridMultilevel"/>
    <w:tmpl w:val="4404BD80"/>
    <w:lvl w:ilvl="0" w:tplc="AC98ECF2">
      <w:numFmt w:val="bullet"/>
      <w:lvlText w:val="-"/>
      <w:lvlJc w:val="left"/>
      <w:pPr>
        <w:ind w:left="720" w:hanging="360"/>
      </w:pPr>
      <w:rPr>
        <w:rFonts w:ascii="Arial" w:eastAsia="Times New Roman" w:hAnsi="Arial" w:cs="Arial" w:hint="default"/>
      </w:rPr>
    </w:lvl>
    <w:lvl w:ilvl="1" w:tplc="94AC33E0" w:tentative="1">
      <w:start w:val="1"/>
      <w:numFmt w:val="bullet"/>
      <w:lvlText w:val="o"/>
      <w:lvlJc w:val="left"/>
      <w:pPr>
        <w:ind w:left="1440" w:hanging="360"/>
      </w:pPr>
      <w:rPr>
        <w:rFonts w:ascii="Courier New" w:hAnsi="Courier New" w:cs="Courier New" w:hint="default"/>
      </w:rPr>
    </w:lvl>
    <w:lvl w:ilvl="2" w:tplc="6082ECF2" w:tentative="1">
      <w:start w:val="1"/>
      <w:numFmt w:val="bullet"/>
      <w:lvlText w:val=""/>
      <w:lvlJc w:val="left"/>
      <w:pPr>
        <w:ind w:left="2160" w:hanging="360"/>
      </w:pPr>
      <w:rPr>
        <w:rFonts w:ascii="Wingdings" w:hAnsi="Wingdings" w:hint="default"/>
      </w:rPr>
    </w:lvl>
    <w:lvl w:ilvl="3" w:tplc="88D60FF0" w:tentative="1">
      <w:start w:val="1"/>
      <w:numFmt w:val="bullet"/>
      <w:lvlText w:val=""/>
      <w:lvlJc w:val="left"/>
      <w:pPr>
        <w:ind w:left="2880" w:hanging="360"/>
      </w:pPr>
      <w:rPr>
        <w:rFonts w:ascii="Symbol" w:hAnsi="Symbol" w:hint="default"/>
      </w:rPr>
    </w:lvl>
    <w:lvl w:ilvl="4" w:tplc="F0D22F9E" w:tentative="1">
      <w:start w:val="1"/>
      <w:numFmt w:val="bullet"/>
      <w:lvlText w:val="o"/>
      <w:lvlJc w:val="left"/>
      <w:pPr>
        <w:ind w:left="3600" w:hanging="360"/>
      </w:pPr>
      <w:rPr>
        <w:rFonts w:ascii="Courier New" w:hAnsi="Courier New" w:cs="Courier New" w:hint="default"/>
      </w:rPr>
    </w:lvl>
    <w:lvl w:ilvl="5" w:tplc="37C61460" w:tentative="1">
      <w:start w:val="1"/>
      <w:numFmt w:val="bullet"/>
      <w:lvlText w:val=""/>
      <w:lvlJc w:val="left"/>
      <w:pPr>
        <w:ind w:left="4320" w:hanging="360"/>
      </w:pPr>
      <w:rPr>
        <w:rFonts w:ascii="Wingdings" w:hAnsi="Wingdings" w:hint="default"/>
      </w:rPr>
    </w:lvl>
    <w:lvl w:ilvl="6" w:tplc="2416DE00" w:tentative="1">
      <w:start w:val="1"/>
      <w:numFmt w:val="bullet"/>
      <w:lvlText w:val=""/>
      <w:lvlJc w:val="left"/>
      <w:pPr>
        <w:ind w:left="5040" w:hanging="360"/>
      </w:pPr>
      <w:rPr>
        <w:rFonts w:ascii="Symbol" w:hAnsi="Symbol" w:hint="default"/>
      </w:rPr>
    </w:lvl>
    <w:lvl w:ilvl="7" w:tplc="27BCB1E0" w:tentative="1">
      <w:start w:val="1"/>
      <w:numFmt w:val="bullet"/>
      <w:lvlText w:val="o"/>
      <w:lvlJc w:val="left"/>
      <w:pPr>
        <w:ind w:left="5760" w:hanging="360"/>
      </w:pPr>
      <w:rPr>
        <w:rFonts w:ascii="Courier New" w:hAnsi="Courier New" w:cs="Courier New" w:hint="default"/>
      </w:rPr>
    </w:lvl>
    <w:lvl w:ilvl="8" w:tplc="6F24467E"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3"/>
  </w:num>
  <w:num w:numId="5">
    <w:abstractNumId w:val="13"/>
  </w:num>
  <w:num w:numId="6">
    <w:abstractNumId w:val="12"/>
  </w:num>
  <w:num w:numId="7">
    <w:abstractNumId w:val="5"/>
  </w:num>
  <w:num w:numId="8">
    <w:abstractNumId w:val="10"/>
  </w:num>
  <w:num w:numId="9">
    <w:abstractNumId w:val="8"/>
  </w:num>
  <w:num w:numId="10">
    <w:abstractNumId w:val="6"/>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4"/>
  </w:num>
  <w:num w:numId="13">
    <w:abstractNumId w:val="4"/>
  </w:num>
  <w:num w:numId="14">
    <w:abstractNumId w:val="9"/>
  </w:num>
  <w:num w:numId="15">
    <w:abstractNumId w:val="4"/>
  </w:num>
  <w:num w:numId="16">
    <w:abstractNumId w:val="4"/>
  </w:num>
  <w:num w:numId="17">
    <w:abstractNumId w:val="2"/>
  </w:num>
  <w:num w:numId="18">
    <w:abstractNumId w:val="4"/>
  </w:num>
  <w:num w:numId="19">
    <w:abstractNumId w:val="4"/>
  </w:num>
  <w:num w:numId="20">
    <w:abstractNumId w:val="4"/>
  </w:num>
  <w:num w:numId="21">
    <w:abstractNumId w:val="4"/>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FD"/>
    <w:rsid w:val="006C32FD"/>
    <w:rsid w:val="00A4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B9675-57EA-4933-B30A-6EA413A5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7460E"/>
    <w:pPr>
      <w:spacing w:before="120" w:after="240" w:line="240" w:lineRule="auto"/>
    </w:pPr>
    <w:rPr>
      <w:rFonts w:ascii="Arial" w:hAnsi="Arial" w:cs="Arial"/>
      <w:b/>
      <w:sz w:val="32"/>
      <w:szCs w:val="32"/>
    </w:rPr>
  </w:style>
  <w:style w:type="paragraph" w:customStyle="1" w:styleId="Ruthsheader">
    <w:name w:val="Ruth's header"/>
    <w:basedOn w:val="Ruthstitle"/>
    <w:link w:val="RuthsheaderChar"/>
    <w:qFormat/>
    <w:rsid w:val="003C272A"/>
    <w:pPr>
      <w:numPr>
        <w:numId w:val="13"/>
      </w:numPr>
      <w:spacing w:after="120"/>
    </w:pPr>
    <w:rPr>
      <w:sz w:val="26"/>
      <w:szCs w:val="26"/>
    </w:rPr>
  </w:style>
  <w:style w:type="character" w:customStyle="1" w:styleId="RuthstitleChar">
    <w:name w:val="Ruth's title Char"/>
    <w:basedOn w:val="DefaultParagraphFont"/>
    <w:link w:val="Ruthstitle"/>
    <w:rsid w:val="0067460E"/>
    <w:rPr>
      <w:rFonts w:ascii="Arial" w:hAnsi="Arial" w:cs="Arial"/>
      <w:b/>
      <w:sz w:val="32"/>
      <w:szCs w:val="32"/>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3C272A"/>
    <w:rPr>
      <w:rFonts w:ascii="Arial" w:hAnsi="Arial" w:cs="Arial"/>
      <w:b/>
      <w:sz w:val="26"/>
      <w:szCs w:val="26"/>
    </w:rPr>
  </w:style>
  <w:style w:type="paragraph" w:customStyle="1" w:styleId="Ruthsbullets">
    <w:name w:val="Ruth's bullets"/>
    <w:basedOn w:val="Normal"/>
    <w:link w:val="RuthsbulletsChar"/>
    <w:qFormat/>
    <w:rsid w:val="006C4E36"/>
    <w:pPr>
      <w:numPr>
        <w:numId w:val="1"/>
      </w:numPr>
      <w:spacing w:before="120" w:after="120" w:line="240" w:lineRule="auto"/>
      <w:ind w:left="1560" w:hanging="567"/>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CA2C58"/>
    <w:pPr>
      <w:numPr>
        <w:ilvl w:val="1"/>
      </w:numPr>
      <w:ind w:left="851" w:hanging="851"/>
    </w:pPr>
    <w:rPr>
      <w:b w:val="0"/>
      <w:sz w:val="24"/>
      <w:szCs w:val="24"/>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CA2C58"/>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customStyle="1" w:styleId="Ruthsquotes">
    <w:name w:val="Ruth's quotes"/>
    <w:basedOn w:val="Ruthsnumberedparagraph"/>
    <w:link w:val="RuthsquotesChar"/>
    <w:qFormat/>
    <w:rsid w:val="000D391D"/>
    <w:pPr>
      <w:numPr>
        <w:ilvl w:val="0"/>
        <w:numId w:val="0"/>
      </w:numPr>
      <w:ind w:left="851"/>
    </w:pPr>
  </w:style>
  <w:style w:type="character" w:customStyle="1" w:styleId="RuthsquotesChar">
    <w:name w:val="Ruth's quotes Char"/>
    <w:basedOn w:val="RuthsnumberedparagraphChar"/>
    <w:link w:val="Ruthsquotes"/>
    <w:rsid w:val="000D391D"/>
    <w:rPr>
      <w:rFonts w:ascii="Arial" w:hAnsi="Arial" w:cs="Arial"/>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879E-E358-4809-85B4-3BDBB310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12</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Mansfield, Joanne</cp:lastModifiedBy>
  <cp:revision>10</cp:revision>
  <cp:lastPrinted>2017-05-22T09:50:00Z</cp:lastPrinted>
  <dcterms:created xsi:type="dcterms:W3CDTF">2018-03-08T16:48:00Z</dcterms:created>
  <dcterms:modified xsi:type="dcterms:W3CDTF">2018-04-18T09:08:00Z</dcterms:modified>
</cp:coreProperties>
</file>